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49"/>
        <w:gridCol w:w="4099"/>
      </w:tblGrid>
      <w:tr w:rsidR="003566EE" w:rsidRPr="00A86F05" w14:paraId="073C68CC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C2BCBF7" w14:textId="77777777" w:rsidR="003566EE" w:rsidRDefault="003566EE" w:rsidP="005A3CE2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AE37A0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</w:p>
        </w:tc>
      </w:tr>
      <w:tr w:rsidR="00701711" w:rsidRPr="00A86F05" w14:paraId="5207DE57" w14:textId="77777777" w:rsidTr="00142EFF">
        <w:trPr>
          <w:trHeight w:val="347"/>
        </w:trPr>
        <w:tc>
          <w:tcPr>
            <w:tcW w:w="6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338D1813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409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E1730F" w14:textId="77777777" w:rsidR="00701711" w:rsidRPr="00A86F05" w:rsidRDefault="00DF1C7B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Mimořádné situace</w:t>
            </w:r>
          </w:p>
        </w:tc>
      </w:tr>
      <w:tr w:rsidR="00321388" w:rsidRPr="00A86F05" w14:paraId="24A987D2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12E98BEC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208ACC18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CC47C7" w14:textId="235DCC9B" w:rsidR="006D7E9D" w:rsidRDefault="00044631" w:rsidP="00992DCD">
            <w:pPr>
              <w:jc w:val="both"/>
            </w:pPr>
            <w:r w:rsidRPr="009846C2">
              <w:rPr>
                <w:rFonts w:cstheme="minorHAnsi"/>
              </w:rPr>
              <w:t>Služb</w:t>
            </w:r>
            <w:r w:rsidR="00E75F65">
              <w:rPr>
                <w:rFonts w:cstheme="minorHAnsi"/>
              </w:rPr>
              <w:t>y</w:t>
            </w:r>
            <w:r w:rsidRPr="009846C2">
              <w:rPr>
                <w:rFonts w:cstheme="minorHAnsi"/>
              </w:rPr>
              <w:t xml:space="preserve"> zahrnuj</w:t>
            </w:r>
            <w:r w:rsidR="00E75F65">
              <w:rPr>
                <w:rFonts w:cstheme="minorHAnsi"/>
              </w:rPr>
              <w:t>í</w:t>
            </w:r>
            <w:r w:rsidRPr="009846C2">
              <w:rPr>
                <w:rFonts w:cstheme="minorHAnsi"/>
              </w:rPr>
              <w:t xml:space="preserve"> </w:t>
            </w:r>
            <w:r w:rsidR="006D7E9D" w:rsidRPr="006D7E9D">
              <w:t xml:space="preserve">sběr, </w:t>
            </w:r>
            <w:r w:rsidR="00F85ECC">
              <w:t xml:space="preserve">naložení, </w:t>
            </w:r>
            <w:r w:rsidR="006D7E9D">
              <w:t>přepravu</w:t>
            </w:r>
            <w:r w:rsidR="006D7E9D" w:rsidRPr="006D7E9D">
              <w:t xml:space="preserve"> (svoz), úprav</w:t>
            </w:r>
            <w:r w:rsidR="006D7E9D">
              <w:t>u</w:t>
            </w:r>
            <w:r w:rsidR="006D7E9D" w:rsidRPr="006D7E9D">
              <w:t xml:space="preserve"> (třídění), zajišťování odpovídajícího využívání a odpovídajícího odstraňování </w:t>
            </w:r>
            <w:r w:rsidR="002B11A5">
              <w:t>o</w:t>
            </w:r>
            <w:r w:rsidR="006D7E9D" w:rsidRPr="006D7E9D">
              <w:t xml:space="preserve">dpadu </w:t>
            </w:r>
            <w:r w:rsidR="00670996">
              <w:t>vzniklého při mimořádných situacích</w:t>
            </w:r>
            <w:r w:rsidR="00741847">
              <w:t xml:space="preserve"> a preventivní odvoz nádob ze stanoviště a jejich vrácení zpět na místo např. v době konání mimořádných akcí (např. pochod radikálů, aj.)</w:t>
            </w:r>
          </w:p>
          <w:p w14:paraId="35EA5185" w14:textId="5C8075E5" w:rsidR="00C9090C" w:rsidRDefault="00741847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Služby </w:t>
            </w:r>
            <w:r w:rsidR="00345A93">
              <w:rPr>
                <w:rFonts w:asciiTheme="minorHAnsi" w:hAnsiTheme="minorHAnsi"/>
                <w:sz w:val="22"/>
                <w:szCs w:val="22"/>
              </w:rPr>
              <w:t>se provádí dle aktuálních potřeb Objednatele specifikovaných v</w:t>
            </w:r>
            <w:r w:rsidR="008525BB">
              <w:rPr>
                <w:rFonts w:asciiTheme="minorHAnsi" w:hAnsiTheme="minorHAnsi"/>
                <w:sz w:val="22"/>
                <w:szCs w:val="22"/>
              </w:rPr>
              <w:t> </w:t>
            </w:r>
            <w:r w:rsidR="00345A93">
              <w:rPr>
                <w:rFonts w:asciiTheme="minorHAnsi" w:hAnsiTheme="minorHAnsi"/>
                <w:sz w:val="22"/>
                <w:szCs w:val="22"/>
              </w:rPr>
              <w:t>Objednávce</w:t>
            </w:r>
            <w:r w:rsidR="008525BB">
              <w:rPr>
                <w:rFonts w:asciiTheme="minorHAnsi" w:hAnsiTheme="minorHAnsi"/>
                <w:sz w:val="22"/>
                <w:szCs w:val="22"/>
              </w:rPr>
              <w:t>,</w:t>
            </w:r>
            <w:r w:rsidR="00345A93">
              <w:rPr>
                <w:rFonts w:asciiTheme="minorHAnsi" w:hAnsiTheme="minorHAnsi"/>
                <w:sz w:val="22"/>
                <w:szCs w:val="22"/>
              </w:rPr>
              <w:t xml:space="preserve"> a to </w:t>
            </w:r>
            <w:r w:rsidR="00C9090C">
              <w:rPr>
                <w:rFonts w:asciiTheme="minorHAnsi" w:hAnsiTheme="minorHAnsi"/>
                <w:sz w:val="22"/>
                <w:szCs w:val="22"/>
              </w:rPr>
              <w:t>přímo na základě Objednávky, kde bude uvedena rovněž lokalizace místa plnění.</w:t>
            </w:r>
          </w:p>
          <w:p w14:paraId="4737C2A9" w14:textId="2B38D775" w:rsidR="00502D5D" w:rsidRDefault="00502D5D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35A6D9CF" w14:textId="05DAC7DB" w:rsidR="00502D5D" w:rsidRDefault="00502D5D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02D5D">
              <w:rPr>
                <w:rFonts w:asciiTheme="minorHAnsi" w:hAnsiTheme="minorHAnsi"/>
                <w:sz w:val="22"/>
                <w:szCs w:val="22"/>
              </w:rPr>
              <w:t>Při odvozu jsou odpady tříděny dle jednotlivých komodit minimálně v</w:t>
            </w:r>
            <w:r>
              <w:rPr>
                <w:rFonts w:asciiTheme="minorHAnsi" w:hAnsiTheme="minorHAnsi"/>
                <w:sz w:val="22"/>
                <w:szCs w:val="22"/>
              </w:rPr>
              <w:t> </w:t>
            </w:r>
            <w:r w:rsidRPr="00502D5D">
              <w:rPr>
                <w:rFonts w:asciiTheme="minorHAnsi" w:hAnsiTheme="minorHAnsi"/>
                <w:sz w:val="22"/>
                <w:szCs w:val="22"/>
              </w:rPr>
              <w:t>rozsahu papír, plasty, kovy, dřevo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 w:rsidRPr="00502D5D">
              <w:rPr>
                <w:rFonts w:asciiTheme="minorHAnsi" w:hAnsiTheme="minorHAnsi"/>
                <w:sz w:val="22"/>
                <w:szCs w:val="22"/>
              </w:rPr>
              <w:t xml:space="preserve"> textil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="00F12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D7E9D" w:rsidRPr="0097608B">
              <w:rPr>
                <w:rFonts w:asciiTheme="minorHAnsi" w:hAnsiTheme="minorHAnsi"/>
                <w:sz w:val="22"/>
                <w:szCs w:val="22"/>
              </w:rPr>
              <w:t xml:space="preserve">Při odvozu </w:t>
            </w:r>
            <w:r w:rsidR="00E75F65">
              <w:rPr>
                <w:rFonts w:asciiTheme="minorHAnsi" w:hAnsiTheme="minorHAnsi"/>
                <w:sz w:val="22"/>
                <w:szCs w:val="22"/>
              </w:rPr>
              <w:t xml:space="preserve">odpadu vzniklého při mimořádných situacích </w:t>
            </w:r>
            <w:r w:rsidRPr="00502D5D">
              <w:rPr>
                <w:rFonts w:asciiTheme="minorHAnsi" w:hAnsiTheme="minorHAnsi"/>
                <w:sz w:val="22"/>
                <w:szCs w:val="22"/>
              </w:rPr>
              <w:t xml:space="preserve">je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Poskytovatel </w:t>
            </w:r>
            <w:r w:rsidRPr="00502D5D">
              <w:rPr>
                <w:rFonts w:asciiTheme="minorHAnsi" w:hAnsiTheme="minorHAnsi"/>
                <w:sz w:val="22"/>
                <w:szCs w:val="22"/>
              </w:rPr>
              <w:t xml:space="preserve">povinen v souladu s právními předpisy zajistit v co největší míře roztřízení a následné využití vytřízených složek </w:t>
            </w:r>
            <w:r>
              <w:rPr>
                <w:rFonts w:asciiTheme="minorHAnsi" w:hAnsiTheme="minorHAnsi"/>
                <w:sz w:val="22"/>
                <w:szCs w:val="22"/>
              </w:rPr>
              <w:t>odpadu vzniklého při mimořádných situacích</w:t>
            </w:r>
            <w:r w:rsidRPr="00502D5D">
              <w:rPr>
                <w:rFonts w:asciiTheme="minorHAnsi" w:hAnsiTheme="minorHAnsi"/>
                <w:sz w:val="22"/>
                <w:szCs w:val="22"/>
              </w:rPr>
              <w:t>. Netříděné složky 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 odpadu vzniklého při mimořádných situacích </w:t>
            </w:r>
            <w:r w:rsidRPr="00502D5D">
              <w:rPr>
                <w:rFonts w:asciiTheme="minorHAnsi" w:hAnsiTheme="minorHAnsi"/>
                <w:sz w:val="22"/>
                <w:szCs w:val="22"/>
              </w:rPr>
              <w:t>jsou odstraňovány.</w:t>
            </w:r>
          </w:p>
          <w:p w14:paraId="2E4A2BE7" w14:textId="77777777" w:rsidR="00502D5D" w:rsidRDefault="00502D5D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32A8B76" w14:textId="3531E2FE" w:rsidR="00F10CB0" w:rsidRDefault="00345A93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Součástí Služeb dle tohoto katalogového listu je rovněž poříz</w:t>
            </w:r>
            <w:r w:rsidR="00C9090C">
              <w:rPr>
                <w:rFonts w:asciiTheme="minorHAnsi" w:hAnsiTheme="minorHAnsi"/>
                <w:sz w:val="22"/>
                <w:szCs w:val="22"/>
              </w:rPr>
              <w:t xml:space="preserve">ení související fotodokumentace před a po provedení </w:t>
            </w:r>
            <w:r w:rsidR="00741847">
              <w:rPr>
                <w:rFonts w:asciiTheme="minorHAnsi" w:hAnsiTheme="minorHAnsi"/>
                <w:sz w:val="22"/>
                <w:szCs w:val="22"/>
              </w:rPr>
              <w:t>S</w:t>
            </w:r>
            <w:r w:rsidR="00C9090C">
              <w:rPr>
                <w:rFonts w:asciiTheme="minorHAnsi" w:hAnsiTheme="minorHAnsi"/>
                <w:sz w:val="22"/>
                <w:szCs w:val="22"/>
              </w:rPr>
              <w:t>lužby.</w:t>
            </w:r>
          </w:p>
          <w:p w14:paraId="6234D98C" w14:textId="77777777" w:rsidR="00955F60" w:rsidRPr="00F10CB0" w:rsidRDefault="00955F60" w:rsidP="00E019A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21388" w:rsidRPr="00A86F05" w14:paraId="15C9CD3C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7C46E58" w14:textId="285E3A1E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36120534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79D3312A" w14:textId="1A5E65FC" w:rsidR="00550B57" w:rsidRPr="00A86F05" w:rsidRDefault="00E27F98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Odpad vzniklý při mimořádných událostech</w:t>
            </w:r>
          </w:p>
        </w:tc>
      </w:tr>
      <w:tr w:rsidR="007C308A" w:rsidRPr="00A86F05" w14:paraId="68AAAB88" w14:textId="77777777" w:rsidTr="00142EFF">
        <w:trPr>
          <w:trHeight w:val="2500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tbl>
            <w:tblPr>
              <w:tblW w:w="1009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18"/>
              <w:gridCol w:w="10"/>
              <w:gridCol w:w="976"/>
              <w:gridCol w:w="1380"/>
              <w:gridCol w:w="904"/>
              <w:gridCol w:w="65"/>
              <w:gridCol w:w="1766"/>
              <w:gridCol w:w="2280"/>
            </w:tblGrid>
            <w:tr w:rsidR="008525BB" w:rsidRPr="000F0695" w14:paraId="6EAD9EEC" w14:textId="080A8D81" w:rsidTr="00E019A5">
              <w:trPr>
                <w:trHeight w:val="1285"/>
                <w:jc w:val="center"/>
              </w:trPr>
              <w:tc>
                <w:tcPr>
                  <w:tcW w:w="2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C5E79EC" w14:textId="77777777" w:rsidR="008525BB" w:rsidRPr="00C67FFA" w:rsidRDefault="008525BB" w:rsidP="00BF4CB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C67F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Kód odpadu</w:t>
                  </w:r>
                </w:p>
              </w:tc>
              <w:tc>
                <w:tcPr>
                  <w:tcW w:w="9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F78515C" w14:textId="77777777" w:rsidR="008525BB" w:rsidRPr="00C67FFA" w:rsidRDefault="008525BB" w:rsidP="00BF4CB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C67FF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Kat.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5D635BA" w14:textId="77777777" w:rsidR="008525BB" w:rsidRPr="0091541B" w:rsidRDefault="008525BB" w:rsidP="00BF4CB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A04DA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Název odpadu</w:t>
                  </w:r>
                </w:p>
              </w:tc>
              <w:tc>
                <w:tcPr>
                  <w:tcW w:w="969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45D7EB6C" w14:textId="77777777" w:rsidR="008525BB" w:rsidRPr="00C67FFA" w:rsidRDefault="008525BB" w:rsidP="00BF4CB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CA3B4C">
                    <w:rPr>
                      <w:rFonts w:ascii="Calibri" w:hAnsi="Calibri" w:cstheme="minorHAnsi"/>
                      <w:b/>
                    </w:rPr>
                    <w:t>Jednotka</w:t>
                  </w:r>
                </w:p>
                <w:p w14:paraId="076F79AF" w14:textId="77777777" w:rsidR="008525BB" w:rsidRPr="00C67FFA" w:rsidRDefault="008525BB" w:rsidP="00BF4CB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5A9BF42E" w14:textId="77777777" w:rsidR="008525BB" w:rsidRPr="00CA3B4C" w:rsidRDefault="008525BB" w:rsidP="00BF4CBE">
                  <w:pPr>
                    <w:spacing w:after="0" w:line="240" w:lineRule="auto"/>
                    <w:jc w:val="center"/>
                    <w:rPr>
                      <w:rFonts w:ascii="Calibri" w:hAnsi="Calibri" w:cstheme="minorHAnsi"/>
                      <w:b/>
                    </w:rPr>
                  </w:pPr>
                  <w:r>
                    <w:rPr>
                      <w:rFonts w:ascii="Calibri" w:hAnsi="Calibri" w:cstheme="minorHAnsi"/>
                      <w:b/>
                    </w:rPr>
                    <w:t>Jednotková</w:t>
                  </w:r>
                  <w:r w:rsidRPr="001B103E">
                    <w:rPr>
                      <w:rFonts w:ascii="Calibri" w:hAnsi="Calibri" w:cstheme="minorHAnsi"/>
                      <w:b/>
                    </w:rPr>
                    <w:t xml:space="preserve"> cena za sběr, nakládku, svoz a přepravu do zařízení </w:t>
                  </w:r>
                  <w:r>
                    <w:rPr>
                      <w:rFonts w:ascii="Calibri" w:hAnsi="Calibri" w:cstheme="minorHAnsi"/>
                      <w:b/>
                    </w:rPr>
                    <w:t xml:space="preserve">v Kč </w:t>
                  </w:r>
                  <w:r w:rsidRPr="001B103E">
                    <w:rPr>
                      <w:rFonts w:ascii="Calibri" w:hAnsi="Calibri" w:cstheme="minorHAnsi"/>
                      <w:b/>
                    </w:rPr>
                    <w:t>bez DPH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2434212" w14:textId="084AA294" w:rsidR="008525BB" w:rsidRPr="00C67FFA" w:rsidRDefault="008525BB" w:rsidP="00BF4CB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theme="minorHAnsi"/>
                      <w:b/>
                    </w:rPr>
                    <w:t>Jednotková</w:t>
                  </w:r>
                  <w:r w:rsidRPr="001B103E">
                    <w:rPr>
                      <w:rFonts w:ascii="Calibri" w:hAnsi="Calibri" w:cstheme="minorHAnsi"/>
                      <w:b/>
                    </w:rPr>
                    <w:t xml:space="preserve"> cena za odstranění nebo využití odpadu bez poplatku</w:t>
                  </w:r>
                  <w:r>
                    <w:rPr>
                      <w:rFonts w:ascii="Calibri" w:hAnsi="Calibri" w:cstheme="minorHAnsi"/>
                      <w:b/>
                    </w:rPr>
                    <w:t xml:space="preserve"> za ukládání odpadů na skládku</w:t>
                  </w:r>
                  <w:r w:rsidRPr="001B103E">
                    <w:rPr>
                      <w:rFonts w:ascii="Calibri" w:hAnsi="Calibri" w:cstheme="minorHAnsi"/>
                      <w:b/>
                    </w:rPr>
                    <w:t xml:space="preserve"> </w:t>
                  </w:r>
                  <w:r w:rsidR="00A61E6A" w:rsidRPr="00A61E6A">
                    <w:rPr>
                      <w:rFonts w:ascii="Calibri" w:hAnsi="Calibri" w:cstheme="minorHAnsi"/>
                      <w:b/>
                    </w:rPr>
                    <w:t xml:space="preserve">a bez nákladů na tvorbu rekultivační rezervy </w:t>
                  </w:r>
                  <w:r w:rsidR="00A61E6A">
                    <w:rPr>
                      <w:rFonts w:ascii="Calibri" w:hAnsi="Calibri" w:cstheme="minorHAnsi"/>
                      <w:b/>
                    </w:rPr>
                    <w:t xml:space="preserve">za tunu </w:t>
                  </w:r>
                  <w:r>
                    <w:rPr>
                      <w:rFonts w:ascii="Calibri" w:hAnsi="Calibri" w:cstheme="minorHAnsi"/>
                      <w:b/>
                    </w:rPr>
                    <w:t xml:space="preserve">v Kč </w:t>
                  </w:r>
                  <w:r w:rsidRPr="001B103E">
                    <w:rPr>
                      <w:rFonts w:ascii="Calibri" w:hAnsi="Calibri" w:cstheme="minorHAnsi"/>
                      <w:b/>
                    </w:rPr>
                    <w:t>bez DPH</w:t>
                  </w:r>
                </w:p>
              </w:tc>
            </w:tr>
            <w:tr w:rsidR="008525BB" w:rsidRPr="000F0695" w14:paraId="57CDBF8F" w14:textId="02B08AE8" w:rsidTr="00E019A5">
              <w:trPr>
                <w:trHeight w:val="600"/>
                <w:jc w:val="center"/>
              </w:trPr>
              <w:tc>
                <w:tcPr>
                  <w:tcW w:w="27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B6AD9C" w14:textId="3FD52F47" w:rsidR="008525BB" w:rsidRPr="00C67FFA" w:rsidRDefault="00502D5D" w:rsidP="007B21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Kódy budou odpadu přiřazovány </w:t>
                  </w:r>
                  <w:r w:rsidRPr="00502D5D">
                    <w:rPr>
                      <w:rFonts w:ascii="Calibri" w:eastAsia="Times New Roman" w:hAnsi="Calibri" w:cs="Times New Roman"/>
                      <w:color w:val="000000" w:themeColor="text1"/>
                    </w:rPr>
                    <w:t>dle skutečné povahy vzniklého odpadu</w:t>
                  </w:r>
                </w:p>
              </w:tc>
              <w:tc>
                <w:tcPr>
                  <w:tcW w:w="9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2F067A" w14:textId="77777777" w:rsidR="008525BB" w:rsidRPr="00C67FFA" w:rsidRDefault="008525BB" w:rsidP="007B21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C67FFA">
                    <w:rPr>
                      <w:rFonts w:ascii="Calibri" w:eastAsia="Times New Roman" w:hAnsi="Calibri" w:cs="Times New Roman"/>
                      <w:color w:val="000000" w:themeColor="text1"/>
                    </w:rPr>
                    <w:t>O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1830C3" w14:textId="77777777" w:rsidR="008525BB" w:rsidRPr="00C67FFA" w:rsidRDefault="008525BB" w:rsidP="007B21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C67FFA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Odpad vzniklý při mimořádných situacích (např. </w:t>
                  </w:r>
                  <w:proofErr w:type="gramStart"/>
                  <w:r w:rsidRPr="00C67FFA">
                    <w:rPr>
                      <w:rFonts w:ascii="Calibri" w:eastAsia="Times New Roman" w:hAnsi="Calibri" w:cs="Times New Roman"/>
                      <w:color w:val="000000" w:themeColor="text1"/>
                    </w:rPr>
                    <w:t>povodně,</w:t>
                  </w:r>
                  <w:proofErr w:type="gramEnd"/>
                  <w:r w:rsidRPr="00C67FFA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atd.)</w:t>
                  </w:r>
                </w:p>
              </w:tc>
              <w:tc>
                <w:tcPr>
                  <w:tcW w:w="9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139CC1" w14:textId="77777777" w:rsidR="008525BB" w:rsidRPr="0091541B" w:rsidRDefault="008525BB" w:rsidP="007B213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A04DA8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171E1" w14:textId="5CB88E7A" w:rsidR="008525BB" w:rsidRPr="00CA3B4C" w:rsidRDefault="008525BB" w:rsidP="007B2136">
                  <w:pPr>
                    <w:spacing w:after="0" w:line="240" w:lineRule="auto"/>
                    <w:jc w:val="center"/>
                    <w:rPr>
                      <w:rFonts w:ascii="Calibri" w:hAnsi="Calibri" w:cstheme="minorHAnsi"/>
                      <w:highlight w:val="yellow"/>
                    </w:rPr>
                  </w:pPr>
                  <w:r>
                    <w:rPr>
                      <w:rFonts w:ascii="Calibri" w:hAnsi="Calibri" w:cstheme="minorHAnsi"/>
                      <w:highlight w:val="yellow"/>
                    </w:rPr>
                    <w:t>[DOPLNÍ DODAVATEL]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D07DF7B" w14:textId="7C83C696" w:rsidR="008525BB" w:rsidRPr="00C67FFA" w:rsidRDefault="008525BB" w:rsidP="00BF4CB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662403">
                    <w:rPr>
                      <w:rFonts w:ascii="Calibri" w:hAnsi="Calibri" w:cstheme="minorHAnsi"/>
                      <w:highlight w:val="yellow"/>
                    </w:rPr>
                    <w:t>[DOPLNÍ DODAVATEL]</w:t>
                  </w:r>
                </w:p>
              </w:tc>
            </w:tr>
            <w:tr w:rsidR="00741847" w:rsidRPr="000F0695" w14:paraId="175E6BA7" w14:textId="77777777" w:rsidTr="00E019A5">
              <w:trPr>
                <w:trHeight w:val="424"/>
                <w:jc w:val="center"/>
              </w:trPr>
              <w:tc>
                <w:tcPr>
                  <w:tcW w:w="10099" w:type="dxa"/>
                  <w:gridSpan w:val="8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</w:tcPr>
                <w:p w14:paraId="383D010F" w14:textId="45EAF041" w:rsidR="00741847" w:rsidRPr="00E019A5" w:rsidRDefault="00741847" w:rsidP="00BF4CBE">
                  <w:pPr>
                    <w:spacing w:after="0" w:line="240" w:lineRule="auto"/>
                    <w:jc w:val="center"/>
                    <w:rPr>
                      <w:rFonts w:ascii="Calibri" w:hAnsi="Calibri" w:cstheme="minorHAnsi"/>
                      <w:b/>
                      <w:bCs/>
                    </w:rPr>
                  </w:pPr>
                  <w:r w:rsidRPr="00E019A5">
                    <w:rPr>
                      <w:rFonts w:ascii="Calibri" w:hAnsi="Calibri" w:cstheme="minorHAnsi"/>
                      <w:b/>
                      <w:bCs/>
                    </w:rPr>
                    <w:t xml:space="preserve">Preventivní odvezení a vrácení nádob </w:t>
                  </w:r>
                </w:p>
              </w:tc>
            </w:tr>
            <w:tr w:rsidR="00741847" w:rsidRPr="000F0695" w14:paraId="18789A64" w14:textId="77777777" w:rsidTr="00E019A5">
              <w:trPr>
                <w:trHeight w:val="600"/>
                <w:jc w:val="center"/>
              </w:trPr>
              <w:tc>
                <w:tcPr>
                  <w:tcW w:w="27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4209FD" w14:textId="4A3FB1F3" w:rsidR="00741847" w:rsidRPr="00C67FFA" w:rsidRDefault="00741847" w:rsidP="009911D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A04DA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Název odpadu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89A93AB" w14:textId="77777777" w:rsidR="00741847" w:rsidRPr="00C67FFA" w:rsidRDefault="00741847" w:rsidP="009911D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CA3B4C">
                    <w:rPr>
                      <w:rFonts w:ascii="Calibri" w:hAnsi="Calibri" w:cstheme="minorHAnsi"/>
                      <w:b/>
                    </w:rPr>
                    <w:t>Jednotka</w:t>
                  </w:r>
                </w:p>
                <w:p w14:paraId="0D8623BA" w14:textId="77777777" w:rsidR="00741847" w:rsidRPr="00A04DA8" w:rsidRDefault="00741847" w:rsidP="009911D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41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0541EB7" w14:textId="77777777" w:rsidR="00741847" w:rsidRDefault="00741847" w:rsidP="009911DB">
                  <w:pPr>
                    <w:spacing w:after="0" w:line="240" w:lineRule="auto"/>
                    <w:jc w:val="center"/>
                    <w:rPr>
                      <w:rFonts w:ascii="Calibri" w:hAnsi="Calibri" w:cstheme="minorHAnsi"/>
                      <w:highlight w:val="yellow"/>
                    </w:rPr>
                  </w:pPr>
                  <w:r w:rsidRPr="009911DB">
                    <w:rPr>
                      <w:rFonts w:ascii="Calibri" w:hAnsi="Calibri" w:cstheme="minorHAnsi"/>
                      <w:b/>
                    </w:rPr>
                    <w:t>Jednotková cena za odvoz nádoby ze stanoviště a její vrácení zpět na místo bez DPH</w:t>
                  </w:r>
                </w:p>
                <w:p w14:paraId="42CEF422" w14:textId="7DA22A7F" w:rsidR="00741847" w:rsidRPr="00662403" w:rsidRDefault="00741847" w:rsidP="009911DB">
                  <w:pPr>
                    <w:spacing w:after="0" w:line="240" w:lineRule="auto"/>
                    <w:jc w:val="center"/>
                    <w:rPr>
                      <w:rFonts w:ascii="Calibri" w:hAnsi="Calibri" w:cstheme="minorHAnsi"/>
                      <w:highlight w:val="yellow"/>
                    </w:rPr>
                  </w:pPr>
                </w:p>
              </w:tc>
            </w:tr>
            <w:tr w:rsidR="00741847" w:rsidRPr="000F0695" w14:paraId="3722E8A0" w14:textId="77777777" w:rsidTr="00E019A5">
              <w:trPr>
                <w:trHeight w:val="600"/>
                <w:jc w:val="center"/>
              </w:trPr>
              <w:tc>
                <w:tcPr>
                  <w:tcW w:w="2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68E7A" w14:textId="5145543B" w:rsidR="00741847" w:rsidRPr="00C67FFA" w:rsidRDefault="00741847" w:rsidP="009911D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P</w:t>
                  </w:r>
                  <w:r w:rsidRPr="00BA418D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reventivní odvoz nádob ze stanoviště a jejich vrácení zpět na místo 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D49F0F" w14:textId="3C085C5D" w:rsidR="00741847" w:rsidRPr="00A04DA8" w:rsidRDefault="00741847" w:rsidP="009911D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1 ks nádoby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5C3557" w14:textId="77777777" w:rsidR="00741847" w:rsidRDefault="00741847" w:rsidP="009911DB">
                  <w:pPr>
                    <w:spacing w:after="0" w:line="240" w:lineRule="auto"/>
                    <w:jc w:val="center"/>
                    <w:rPr>
                      <w:rFonts w:ascii="Calibri" w:hAnsi="Calibri" w:cstheme="minorHAnsi"/>
                      <w:highlight w:val="yellow"/>
                    </w:rPr>
                  </w:pPr>
                  <w:r>
                    <w:rPr>
                      <w:rFonts w:ascii="Calibri" w:hAnsi="Calibri" w:cstheme="minorHAnsi"/>
                      <w:highlight w:val="yellow"/>
                    </w:rPr>
                    <w:t>[DOPLNÍ DODAVATEL]</w:t>
                  </w:r>
                </w:p>
                <w:p w14:paraId="5641D8B1" w14:textId="53589F9F" w:rsidR="00741847" w:rsidRPr="00662403" w:rsidRDefault="00741847" w:rsidP="009911DB">
                  <w:pPr>
                    <w:spacing w:after="0" w:line="240" w:lineRule="auto"/>
                    <w:jc w:val="center"/>
                    <w:rPr>
                      <w:rFonts w:ascii="Calibri" w:hAnsi="Calibri" w:cstheme="minorHAnsi"/>
                      <w:highlight w:val="yellow"/>
                    </w:rPr>
                  </w:pPr>
                  <w:r w:rsidRPr="00B54928" w:rsidDel="00741847">
                    <w:rPr>
                      <w:rFonts w:ascii="Calibri" w:eastAsia="Times New Roman" w:hAnsi="Calibri" w:cs="Times New Roman"/>
                      <w:i/>
                      <w:iCs/>
                      <w:color w:val="000000" w:themeColor="text1"/>
                    </w:rPr>
                    <w:t xml:space="preserve"> </w:t>
                  </w:r>
                </w:p>
              </w:tc>
            </w:tr>
          </w:tbl>
          <w:p w14:paraId="0B3AC52B" w14:textId="77777777" w:rsidR="007C308A" w:rsidRDefault="007C308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AE5D96" w:rsidRPr="00A86F05" w14:paraId="292CA8EC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768360FC" w14:textId="411AD4E1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1"/>
          </w:p>
        </w:tc>
      </w:tr>
      <w:tr w:rsidR="000C4F9B" w:rsidRPr="00A86F05" w14:paraId="44006914" w14:textId="77777777" w:rsidTr="00142EFF">
        <w:trPr>
          <w:trHeight w:val="347"/>
        </w:trPr>
        <w:tc>
          <w:tcPr>
            <w:tcW w:w="10348" w:type="dxa"/>
            <w:gridSpan w:val="2"/>
            <w:shd w:val="clear" w:color="auto" w:fill="92D050"/>
            <w:vAlign w:val="center"/>
          </w:tcPr>
          <w:p w14:paraId="31592580" w14:textId="09F06C1C" w:rsidR="000C4F9B" w:rsidRPr="00A86F05" w:rsidRDefault="001C55E0" w:rsidP="004322B5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Odpad vzniklý při mimořádných událostech</w:t>
            </w:r>
          </w:p>
        </w:tc>
      </w:tr>
      <w:tr w:rsidR="00321388" w:rsidRPr="00A86F05" w14:paraId="13297DFB" w14:textId="77777777" w:rsidTr="00142EFF">
        <w:trPr>
          <w:trHeight w:val="983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CC0C57" w14:textId="70839713" w:rsidR="00AE5D96" w:rsidRPr="00F85ECC" w:rsidRDefault="00AE5D96" w:rsidP="00955F6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D7E9D">
              <w:rPr>
                <w:rFonts w:asciiTheme="minorHAnsi" w:hAnsiTheme="minorHAnsi" w:cstheme="minorHAnsi"/>
              </w:rPr>
              <w:lastRenderedPageBreak/>
              <w:t xml:space="preserve">Cena </w:t>
            </w:r>
            <w:r w:rsidRPr="00F85ECC">
              <w:rPr>
                <w:rFonts w:asciiTheme="minorHAnsi" w:hAnsiTheme="minorHAnsi" w:cstheme="minorHAnsi"/>
              </w:rPr>
              <w:t xml:space="preserve">za </w:t>
            </w:r>
            <w:r w:rsidR="00F85ECC" w:rsidRPr="00F85ECC">
              <w:rPr>
                <w:rFonts w:asciiTheme="minorHAnsi" w:hAnsiTheme="minorHAnsi"/>
              </w:rPr>
              <w:t xml:space="preserve">sběr, </w:t>
            </w:r>
            <w:r w:rsidR="00F85ECC">
              <w:rPr>
                <w:rFonts w:asciiTheme="minorHAnsi" w:hAnsiTheme="minorHAnsi"/>
              </w:rPr>
              <w:t xml:space="preserve">naložení, </w:t>
            </w:r>
            <w:r w:rsidR="00F85ECC" w:rsidRPr="00F85ECC">
              <w:rPr>
                <w:rFonts w:asciiTheme="minorHAnsi" w:hAnsiTheme="minorHAnsi"/>
              </w:rPr>
              <w:t xml:space="preserve">přepravu (svoz), úpravu (třídění), zajišťování odpovídajícího využívání a odpovídajícího odstraňování odpadu </w:t>
            </w:r>
            <w:r w:rsidR="00670996">
              <w:rPr>
                <w:rFonts w:asciiTheme="minorHAnsi" w:hAnsiTheme="minorHAnsi"/>
              </w:rPr>
              <w:t>vzniklého při mimořádných situacích</w:t>
            </w:r>
            <w:r w:rsidR="005F5DFC" w:rsidRPr="00F85ECC">
              <w:rPr>
                <w:rFonts w:asciiTheme="minorHAnsi" w:hAnsiTheme="minorHAnsi" w:cstheme="minorHAnsi"/>
              </w:rPr>
              <w:t>, tedy Služby dle tohoto Katalogového listu,</w:t>
            </w:r>
            <w:r w:rsidR="00992DCD" w:rsidRPr="00F85ECC">
              <w:rPr>
                <w:rFonts w:asciiTheme="minorHAnsi" w:hAnsiTheme="minorHAnsi" w:cstheme="minorHAnsi"/>
              </w:rPr>
              <w:t xml:space="preserve"> musí obsahovat</w:t>
            </w:r>
            <w:r w:rsidR="005F5DFC" w:rsidRPr="00F85ECC">
              <w:rPr>
                <w:rFonts w:asciiTheme="minorHAnsi" w:hAnsiTheme="minorHAnsi" w:cstheme="minorHAnsi"/>
              </w:rPr>
              <w:t xml:space="preserve"> veškeré náklady nutné k jejich provedení, zejména</w:t>
            </w:r>
            <w:r w:rsidRPr="00F85ECC">
              <w:rPr>
                <w:rFonts w:asciiTheme="minorHAnsi" w:hAnsiTheme="minorHAnsi" w:cstheme="minorHAnsi"/>
              </w:rPr>
              <w:t>:</w:t>
            </w:r>
          </w:p>
          <w:p w14:paraId="5400964C" w14:textId="393AE242" w:rsidR="00AE5D96" w:rsidRPr="00281A93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Naložení </w:t>
            </w:r>
            <w:r w:rsidR="00281A93">
              <w:rPr>
                <w:rFonts w:asciiTheme="minorHAnsi" w:hAnsiTheme="minorHAnsi"/>
              </w:rPr>
              <w:t xml:space="preserve">všech </w:t>
            </w:r>
            <w:r w:rsidRPr="000B57CF">
              <w:rPr>
                <w:rFonts w:asciiTheme="minorHAnsi" w:hAnsiTheme="minorHAnsi"/>
              </w:rPr>
              <w:t>odpad</w:t>
            </w:r>
            <w:r w:rsidR="00281A93">
              <w:rPr>
                <w:rFonts w:asciiTheme="minorHAnsi" w:hAnsiTheme="minorHAnsi"/>
              </w:rPr>
              <w:t>ů</w:t>
            </w:r>
            <w:r w:rsidRPr="000B57CF">
              <w:rPr>
                <w:rFonts w:asciiTheme="minorHAnsi" w:hAnsiTheme="minorHAnsi"/>
              </w:rPr>
              <w:t xml:space="preserve"> do svozov</w:t>
            </w:r>
            <w:r w:rsidR="00281A93">
              <w:rPr>
                <w:rFonts w:asciiTheme="minorHAnsi" w:hAnsiTheme="minorHAnsi"/>
              </w:rPr>
              <w:t>ých</w:t>
            </w:r>
            <w:r w:rsidRPr="000B57CF">
              <w:rPr>
                <w:rFonts w:asciiTheme="minorHAnsi" w:hAnsiTheme="minorHAnsi"/>
              </w:rPr>
              <w:t xml:space="preserve"> </w:t>
            </w:r>
            <w:r w:rsidRPr="00992DCD">
              <w:rPr>
                <w:rFonts w:asciiTheme="minorHAnsi" w:hAnsiTheme="minorHAnsi"/>
              </w:rPr>
              <w:t>vozid</w:t>
            </w:r>
            <w:r w:rsidR="00281A93" w:rsidRPr="00992DCD">
              <w:rPr>
                <w:rFonts w:asciiTheme="minorHAnsi" w:hAnsiTheme="minorHAnsi"/>
              </w:rPr>
              <w:t>el</w:t>
            </w:r>
            <w:r w:rsidR="00F85ECC">
              <w:rPr>
                <w:rFonts w:asciiTheme="minorHAnsi" w:hAnsiTheme="minorHAnsi"/>
              </w:rPr>
              <w:t>, včetně jejich „vyhrabání“</w:t>
            </w:r>
            <w:r w:rsidR="0079730D">
              <w:rPr>
                <w:rFonts w:asciiTheme="minorHAnsi" w:hAnsiTheme="minorHAnsi"/>
              </w:rPr>
              <w:t xml:space="preserve">, což </w:t>
            </w:r>
            <w:r w:rsidR="0079730D" w:rsidRPr="0079730D">
              <w:rPr>
                <w:rFonts w:asciiTheme="minorHAnsi" w:hAnsiTheme="minorHAnsi"/>
              </w:rPr>
              <w:t xml:space="preserve">zahrnuje </w:t>
            </w:r>
            <w:r w:rsidR="00451B69">
              <w:rPr>
                <w:rFonts w:asciiTheme="minorHAnsi" w:hAnsiTheme="minorHAnsi"/>
              </w:rPr>
              <w:t xml:space="preserve">manipulaci s veškerým odpadem a jeho svoz, ať již se nachází </w:t>
            </w:r>
            <w:r w:rsidR="00451B69" w:rsidRPr="00451B69">
              <w:rPr>
                <w:rFonts w:asciiTheme="minorHAnsi" w:hAnsiTheme="minorHAnsi"/>
              </w:rPr>
              <w:t>na nebo u silniční komunikace I., II. nebo III. třídy, ale také na účelových komunikacích a jiných cestách bez asfaltového povrhu</w:t>
            </w:r>
            <w:r w:rsidR="00451B69">
              <w:rPr>
                <w:rFonts w:asciiTheme="minorHAnsi" w:hAnsiTheme="minorHAnsi"/>
              </w:rPr>
              <w:t>. Uvedené zahrnuje</w:t>
            </w:r>
            <w:r w:rsidR="00451B69" w:rsidRPr="00451B69">
              <w:rPr>
                <w:rFonts w:asciiTheme="minorHAnsi" w:hAnsiTheme="minorHAnsi"/>
              </w:rPr>
              <w:t xml:space="preserve"> </w:t>
            </w:r>
            <w:r w:rsidR="0079730D" w:rsidRPr="0079730D">
              <w:rPr>
                <w:rFonts w:asciiTheme="minorHAnsi" w:hAnsiTheme="minorHAnsi"/>
              </w:rPr>
              <w:t>také případnou manipulaci s</w:t>
            </w:r>
            <w:r w:rsidR="0079730D">
              <w:rPr>
                <w:rFonts w:asciiTheme="minorHAnsi" w:hAnsiTheme="minorHAnsi"/>
              </w:rPr>
              <w:t xml:space="preserve"> odpadem </w:t>
            </w:r>
            <w:r w:rsidR="0079730D" w:rsidRPr="0079730D">
              <w:rPr>
                <w:rFonts w:asciiTheme="minorHAnsi" w:hAnsiTheme="minorHAnsi"/>
              </w:rPr>
              <w:t>v hůře přístupných podmínkách (schody, nezpevněné komunikace, zasněžené či zledovatělé komunikace apod.).</w:t>
            </w:r>
          </w:p>
          <w:p w14:paraId="3592D0A7" w14:textId="1DB72C16" w:rsidR="00281A93" w:rsidRPr="00992DCD" w:rsidRDefault="00281A93" w:rsidP="005F5DF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92DCD">
              <w:rPr>
                <w:rFonts w:asciiTheme="minorHAnsi" w:hAnsiTheme="minorHAnsi" w:cstheme="minorHAnsi"/>
              </w:rPr>
              <w:t xml:space="preserve">Úklid </w:t>
            </w:r>
            <w:r w:rsidR="00992DCD" w:rsidRPr="00992DCD">
              <w:rPr>
                <w:rFonts w:asciiTheme="minorHAnsi" w:hAnsiTheme="minorHAnsi" w:cstheme="minorHAnsi"/>
              </w:rPr>
              <w:t xml:space="preserve">místa, kde byly odpady </w:t>
            </w:r>
            <w:proofErr w:type="gramStart"/>
            <w:r w:rsidR="00992DCD" w:rsidRPr="00992DCD">
              <w:rPr>
                <w:rFonts w:asciiTheme="minorHAnsi" w:hAnsiTheme="minorHAnsi" w:cstheme="minorHAnsi"/>
              </w:rPr>
              <w:t>odloženy</w:t>
            </w:r>
            <w:r w:rsidRPr="00992DCD">
              <w:rPr>
                <w:rFonts w:asciiTheme="minorHAnsi" w:hAnsiTheme="minorHAnsi" w:cstheme="minorHAnsi"/>
              </w:rPr>
              <w:t xml:space="preserve"> - odstranění</w:t>
            </w:r>
            <w:proofErr w:type="gramEnd"/>
            <w:r w:rsidRPr="00992DCD">
              <w:rPr>
                <w:rFonts w:asciiTheme="minorHAnsi" w:hAnsiTheme="minorHAnsi" w:cstheme="minorHAnsi"/>
              </w:rPr>
              <w:t xml:space="preserve"> všech odpadů</w:t>
            </w:r>
            <w:r w:rsidR="008D4B48">
              <w:rPr>
                <w:rFonts w:asciiTheme="minorHAnsi" w:hAnsiTheme="minorHAnsi" w:cstheme="minorHAnsi"/>
              </w:rPr>
              <w:t xml:space="preserve"> </w:t>
            </w:r>
            <w:r w:rsidR="007255DF">
              <w:rPr>
                <w:rFonts w:asciiTheme="minorHAnsi" w:hAnsiTheme="minorHAnsi" w:cstheme="minorHAnsi"/>
              </w:rPr>
              <w:t>v</w:t>
            </w:r>
            <w:r w:rsidR="008D4B48">
              <w:rPr>
                <w:rFonts w:asciiTheme="minorHAnsi" w:hAnsiTheme="minorHAnsi" w:cstheme="minorHAnsi"/>
              </w:rPr>
              <w:t xml:space="preserve"> míst</w:t>
            </w:r>
            <w:r w:rsidR="007255DF">
              <w:rPr>
                <w:rFonts w:asciiTheme="minorHAnsi" w:hAnsiTheme="minorHAnsi" w:cstheme="minorHAnsi"/>
              </w:rPr>
              <w:t>ě</w:t>
            </w:r>
            <w:r w:rsidR="008D4B48">
              <w:rPr>
                <w:rFonts w:asciiTheme="minorHAnsi" w:hAnsiTheme="minorHAnsi" w:cstheme="minorHAnsi"/>
              </w:rPr>
              <w:t xml:space="preserve"> odložení odpadu</w:t>
            </w:r>
            <w:r w:rsidR="005F5DFC" w:rsidRPr="005F5DFC">
              <w:rPr>
                <w:rFonts w:asciiTheme="minorHAnsi" w:hAnsiTheme="minorHAnsi" w:cstheme="minorHAnsi"/>
              </w:rPr>
              <w:t>.</w:t>
            </w:r>
            <w:r w:rsidR="008D4B48">
              <w:rPr>
                <w:rFonts w:asciiTheme="minorHAnsi" w:hAnsiTheme="minorHAnsi" w:cstheme="minorHAnsi"/>
              </w:rPr>
              <w:t xml:space="preserve"> </w:t>
            </w:r>
            <w:r w:rsidR="008D4B48" w:rsidRPr="008D4B48">
              <w:rPr>
                <w:rFonts w:asciiTheme="minorHAnsi" w:hAnsiTheme="minorHAnsi" w:cstheme="minorHAnsi"/>
              </w:rPr>
              <w:t>Úklid zahrnuje taktéž pořízení fotodokumentace před a po jeho provedení. Fotodokumentace musí prokazatelně zaznamenávat údaje o času pořízení nejméně v rozsahu rok, měsíc, den, hodina, minuta, vteřina.</w:t>
            </w:r>
          </w:p>
          <w:p w14:paraId="5C5B77D9" w14:textId="77777777" w:rsidR="00AE5D96" w:rsidRPr="000B57CF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>Odvoz odpadů do zařízení určených k </w:t>
            </w:r>
            <w:r w:rsidR="002B4163">
              <w:rPr>
                <w:rFonts w:asciiTheme="minorHAnsi" w:hAnsiTheme="minorHAnsi"/>
              </w:rPr>
              <w:t xml:space="preserve">úpravě či využití odpadů, </w:t>
            </w:r>
            <w:r w:rsidR="002B4163" w:rsidRPr="000B57CF">
              <w:rPr>
                <w:rFonts w:asciiTheme="minorHAnsi" w:hAnsiTheme="minorHAnsi"/>
              </w:rPr>
              <w:t>odstranění</w:t>
            </w:r>
            <w:r w:rsidR="002B4163">
              <w:rPr>
                <w:rFonts w:asciiTheme="minorHAnsi" w:hAnsiTheme="minorHAnsi"/>
              </w:rPr>
              <w:t xml:space="preserve"> odpadů nebo</w:t>
            </w:r>
            <w:r w:rsidR="002B4163" w:rsidRPr="000B57CF">
              <w:rPr>
                <w:rFonts w:asciiTheme="minorHAnsi" w:hAnsiTheme="minorHAnsi"/>
              </w:rPr>
              <w:t xml:space="preserve"> </w:t>
            </w:r>
            <w:r w:rsidRPr="000B57CF">
              <w:rPr>
                <w:rFonts w:asciiTheme="minorHAnsi" w:hAnsiTheme="minorHAnsi"/>
              </w:rPr>
              <w:t>předání ke zpětnému odběru</w:t>
            </w:r>
            <w:r w:rsidR="00737CF5" w:rsidRPr="000B57CF">
              <w:rPr>
                <w:rFonts w:asciiTheme="minorHAnsi" w:hAnsiTheme="minorHAnsi" w:cstheme="minorHAnsi"/>
              </w:rPr>
              <w:t>.</w:t>
            </w:r>
          </w:p>
          <w:p w14:paraId="3C11B03A" w14:textId="13D7BDBD" w:rsidR="00AE5D96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Dotřídění odpadu </w:t>
            </w:r>
            <w:r w:rsidR="005C7E22">
              <w:rPr>
                <w:rFonts w:asciiTheme="minorHAnsi" w:hAnsiTheme="minorHAnsi"/>
              </w:rPr>
              <w:t xml:space="preserve">a přednostní využití vytřízených složek objemného odpadu před jejich odstraněním </w:t>
            </w:r>
            <w:r w:rsidR="004B70D7">
              <w:rPr>
                <w:rFonts w:asciiTheme="minorHAnsi" w:hAnsiTheme="minorHAnsi"/>
              </w:rPr>
              <w:t xml:space="preserve">v souladu </w:t>
            </w:r>
            <w:r w:rsidR="004B70D7" w:rsidRPr="004B70D7">
              <w:rPr>
                <w:rFonts w:asciiTheme="minorHAnsi" w:hAnsiTheme="minorHAnsi"/>
              </w:rPr>
              <w:t>s platnou legislativou minimálně v rozsahu papír, plasty, kovy, dřevo</w:t>
            </w:r>
            <w:r w:rsidR="00502D5D">
              <w:rPr>
                <w:rFonts w:asciiTheme="minorHAnsi" w:hAnsiTheme="minorHAnsi"/>
              </w:rPr>
              <w:t xml:space="preserve"> a</w:t>
            </w:r>
            <w:r w:rsidR="004B70D7" w:rsidRPr="004B70D7">
              <w:rPr>
                <w:rFonts w:asciiTheme="minorHAnsi" w:hAnsiTheme="minorHAnsi"/>
              </w:rPr>
              <w:t xml:space="preserve"> textil</w:t>
            </w:r>
            <w:r w:rsidR="00502D5D">
              <w:rPr>
                <w:rFonts w:asciiTheme="minorHAnsi" w:hAnsiTheme="minorHAnsi"/>
              </w:rPr>
              <w:t>.</w:t>
            </w:r>
            <w:r w:rsidR="004B70D7">
              <w:rPr>
                <w:rFonts w:asciiTheme="minorHAnsi" w:hAnsiTheme="minorHAnsi"/>
              </w:rPr>
              <w:t xml:space="preserve"> </w:t>
            </w:r>
          </w:p>
          <w:p w14:paraId="4D1AD113" w14:textId="306B0905" w:rsidR="005C7E22" w:rsidRPr="0038716A" w:rsidRDefault="005C7E22" w:rsidP="0038716A">
            <w:pPr>
              <w:pStyle w:val="Odstavecseseznamem"/>
              <w:numPr>
                <w:ilvl w:val="1"/>
                <w:numId w:val="12"/>
              </w:numPr>
              <w:rPr>
                <w:rFonts w:asciiTheme="minorHAnsi" w:hAnsiTheme="minorHAnsi" w:cstheme="minorHAnsi"/>
              </w:rPr>
            </w:pPr>
            <w:r w:rsidRPr="005C7E22">
              <w:rPr>
                <w:rFonts w:asciiTheme="minorHAnsi" w:hAnsiTheme="minorHAnsi" w:cstheme="minorHAnsi"/>
              </w:rPr>
              <w:t xml:space="preserve">Odstranění netřízeních složek z ostatního </w:t>
            </w:r>
            <w:r>
              <w:rPr>
                <w:rFonts w:asciiTheme="minorHAnsi" w:hAnsiTheme="minorHAnsi" w:cstheme="minorHAnsi"/>
              </w:rPr>
              <w:t>odpadu vzniklého při mimořádných událostech.</w:t>
            </w:r>
          </w:p>
          <w:p w14:paraId="0DA2663C" w14:textId="07B98525" w:rsidR="0089285E" w:rsidRPr="0089285E" w:rsidRDefault="0089285E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2" w:name="_Ref416300268"/>
            <w:r w:rsidRPr="008453E0">
              <w:rPr>
                <w:rFonts w:asciiTheme="minorHAnsi" w:hAnsiTheme="minorHAnsi" w:cstheme="minorHAnsi"/>
              </w:rPr>
              <w:t xml:space="preserve">Kontrolu </w:t>
            </w:r>
            <w:bookmarkEnd w:id="2"/>
            <w:r>
              <w:rPr>
                <w:rFonts w:asciiTheme="minorHAnsi" w:hAnsiTheme="minorHAnsi"/>
              </w:rPr>
              <w:t>provedení služby dle požadavku Objednatele za účasti zástupce Objednatele.</w:t>
            </w:r>
          </w:p>
          <w:p w14:paraId="2A38B203" w14:textId="77777777" w:rsidR="0089285E" w:rsidRDefault="0089285E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Vážení všech </w:t>
            </w:r>
            <w:r>
              <w:rPr>
                <w:rFonts w:asciiTheme="minorHAnsi" w:hAnsiTheme="minorHAnsi"/>
              </w:rPr>
              <w:t xml:space="preserve">svezených odpadů s </w:t>
            </w:r>
            <w:r w:rsidRPr="00C44D79">
              <w:rPr>
                <w:rFonts w:asciiTheme="minorHAnsi" w:hAnsiTheme="minorHAnsi" w:cstheme="minorHAnsi"/>
              </w:rPr>
              <w:t>identifikací na úrovni jednotlivých druhů odpadů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1D48E2D" w14:textId="1DF4D697" w:rsidR="00192693" w:rsidRPr="00192693" w:rsidRDefault="00192693" w:rsidP="00192693">
            <w:pPr>
              <w:pStyle w:val="Odstavecseseznamem"/>
              <w:numPr>
                <w:ilvl w:val="1"/>
                <w:numId w:val="12"/>
              </w:numPr>
              <w:rPr>
                <w:rFonts w:asciiTheme="minorHAnsi" w:hAnsiTheme="minorHAnsi" w:cstheme="minorHAnsi"/>
              </w:rPr>
            </w:pPr>
            <w:r w:rsidRPr="00192693">
              <w:rPr>
                <w:rFonts w:asciiTheme="minorHAnsi" w:hAnsiTheme="minorHAnsi" w:cstheme="minorHAnsi"/>
              </w:rPr>
              <w:t>Vedení průběžné evidence odpadu v souladu s platnou legislativou (v softwaru kompatibilním se systémem pro ohlašování produkce odpadů</w:t>
            </w:r>
            <w:r w:rsidR="00480580">
              <w:rPr>
                <w:rFonts w:asciiTheme="minorHAnsi" w:hAnsiTheme="minorHAnsi" w:cstheme="minorHAnsi"/>
              </w:rPr>
              <w:t>)</w:t>
            </w:r>
            <w:r w:rsidRPr="00192693">
              <w:rPr>
                <w:rFonts w:asciiTheme="minorHAnsi" w:hAnsiTheme="minorHAnsi" w:cstheme="minorHAnsi"/>
              </w:rPr>
              <w:t>.</w:t>
            </w:r>
          </w:p>
          <w:p w14:paraId="36243230" w14:textId="5EF01E04" w:rsidR="00E92BD5" w:rsidRPr="00192693" w:rsidRDefault="005F5DFC" w:rsidP="0019269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192693">
              <w:rPr>
                <w:rFonts w:asciiTheme="minorHAnsi" w:hAnsiTheme="minorHAnsi" w:cstheme="minorHAnsi"/>
              </w:rPr>
              <w:t>Vybavení vozidel GPS moduly a zajištění přístupů k údajům z těchto modulů pro Objednatele za podmínek dále definovaných v této Smlouvě.</w:t>
            </w:r>
          </w:p>
          <w:p w14:paraId="25A63414" w14:textId="23CA71EA" w:rsidR="00992DCD" w:rsidRDefault="00992DCD" w:rsidP="00F850F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3" w:name="_Ref412156138"/>
            <w:bookmarkStart w:id="4" w:name="_Ref416334852"/>
            <w:r w:rsidRPr="00647189">
              <w:rPr>
                <w:rFonts w:asciiTheme="minorHAnsi" w:hAnsiTheme="minorHAnsi" w:cstheme="minorHAnsi"/>
              </w:rPr>
              <w:t xml:space="preserve">Poskytovatel je povinen vybavit vozy určené ke svozu odpadu </w:t>
            </w:r>
            <w:r w:rsidR="001D28A9">
              <w:rPr>
                <w:rFonts w:asciiTheme="minorHAnsi" w:hAnsiTheme="minorHAnsi" w:cstheme="minorHAnsi"/>
              </w:rPr>
              <w:t xml:space="preserve">v rámci Služeb dle tohoto Katalogového listu </w:t>
            </w:r>
            <w:r w:rsidRPr="00647189">
              <w:rPr>
                <w:rFonts w:asciiTheme="minorHAnsi" w:hAnsiTheme="minorHAnsi" w:cstheme="minorHAnsi"/>
              </w:rPr>
              <w:t xml:space="preserve">systémem </w:t>
            </w:r>
            <w:r>
              <w:rPr>
                <w:rFonts w:asciiTheme="minorHAnsi" w:hAnsiTheme="minorHAnsi" w:cstheme="minorHAnsi"/>
              </w:rPr>
              <w:t>GPS</w:t>
            </w:r>
            <w:bookmarkEnd w:id="3"/>
            <w:r w:rsidR="00735228">
              <w:rPr>
                <w:rFonts w:asciiTheme="minorHAnsi" w:hAnsiTheme="minorHAnsi" w:cstheme="minorHAnsi"/>
              </w:rPr>
              <w:t xml:space="preserve"> </w:t>
            </w:r>
            <w:r w:rsidR="00735228" w:rsidRPr="00735228">
              <w:rPr>
                <w:rFonts w:asciiTheme="minorHAnsi" w:hAnsiTheme="minorHAnsi" w:cstheme="minorHAnsi"/>
              </w:rPr>
              <w:t xml:space="preserve">s monitoringem činnosti nástavbové technologie prokazatelně zaznamenávajícím </w:t>
            </w:r>
            <w:r w:rsidR="00AA30EF">
              <w:rPr>
                <w:rFonts w:asciiTheme="minorHAnsi" w:hAnsiTheme="minorHAnsi" w:cstheme="minorHAnsi"/>
              </w:rPr>
              <w:t>naložení odpadu</w:t>
            </w:r>
            <w:r w:rsidR="00735228" w:rsidRPr="00735228">
              <w:rPr>
                <w:rFonts w:asciiTheme="minorHAnsi" w:hAnsiTheme="minorHAnsi" w:cstheme="minorHAnsi"/>
              </w:rPr>
              <w:t>. GPS monitoring musí zaznamenávat data v rozsahu nezbytném pro určení, že konkrétní vozidlo bylo v konkrétní den a čas na konkrétním místě a že na tomto místě provedlo potřebný úkon (výsyp nádoby, naložení odpadu apod.). GPS monitoring tak musí umožnit přinejmenším identifikaci vozidla, na kterém byl instalován, stanovit polohu tohoto vozidla s přesností do 5 metrů k určitému časovému okamžiku určenému dnem, hodinou, minutou a vteřinou a prokázání provedení potřebného úkonu (výsyp nádoby, naložení odpadu apod.) tímto vozidlem</w:t>
            </w:r>
            <w:r w:rsidR="001D28A9">
              <w:rPr>
                <w:rFonts w:asciiTheme="minorHAnsi" w:hAnsiTheme="minorHAnsi" w:cstheme="minorHAnsi"/>
              </w:rPr>
              <w:t>.</w:t>
            </w:r>
            <w:bookmarkEnd w:id="4"/>
          </w:p>
          <w:p w14:paraId="7428B888" w14:textId="45F1BF3E" w:rsidR="001D28A9" w:rsidRDefault="001D28A9" w:rsidP="00F850F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5" w:name="_Ref416251240"/>
            <w:r w:rsidRPr="00B7047E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_Ref416334852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40082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B7047E">
              <w:rPr>
                <w:rFonts w:asciiTheme="minorHAnsi" w:hAnsiTheme="minorHAnsi" w:cstheme="minorHAnsi"/>
              </w:rPr>
              <w:t>. výše zaznamenávat pohyb vozidel nasazených k plnění Služeb dle tohoto Katalogového listu. Tyto záznamy Poskytovatel uchová po dobu alespoň 6 měsíců a za podmínek Smlouvy nebo na vyžádání jejich kopie poskytne Objednateli (včetně možnosti tisku, reprodukce). Zároveň Poskytovatel zajistí pro Objednatele on-line a off-line přístup k GPS modulům jednotlivých vozidel včetně údajů o aktuální poloze a rychlosti vozidla.</w:t>
            </w:r>
            <w:bookmarkEnd w:id="5"/>
            <w:r w:rsidR="00AE10A4">
              <w:rPr>
                <w:rFonts w:asciiTheme="minorHAnsi" w:hAnsiTheme="minorHAnsi" w:cstheme="minorHAnsi"/>
              </w:rPr>
              <w:t xml:space="preserve"> </w:t>
            </w:r>
            <w:r w:rsidR="00AE10A4" w:rsidRPr="00142EFF">
              <w:rPr>
                <w:rFonts w:asciiTheme="minorHAnsi" w:hAnsiTheme="minorHAnsi" w:cstheme="minorHAnsi"/>
              </w:rPr>
              <w:t>GPS modul musí umožňovat průběžnou datovou komunikaci s dispečinkem Poskytovatele prostřednictvím sítě GSM minimálně na bázi technologie GPRS.</w:t>
            </w:r>
          </w:p>
          <w:p w14:paraId="593C2E5E" w14:textId="6CC6E14D" w:rsidR="00992DCD" w:rsidRDefault="001D28A9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1D28A9">
              <w:rPr>
                <w:rFonts w:asciiTheme="minorHAnsi" w:hAnsiTheme="minorHAnsi" w:cstheme="minorHAnsi"/>
              </w:rPr>
              <w:t xml:space="preserve">Poskytovatel je plně odpovědný za způsob využití či odstranění převzatého odpadu v souladu s platnou legislativou. Soulad využití či odstranění převzatého odpadu s platnou legislativou je Poskytovatel povinen doložit doklady, které je pro tyto účely Poskytovatel </w:t>
            </w:r>
            <w:r w:rsidR="00441111">
              <w:rPr>
                <w:rFonts w:asciiTheme="minorHAnsi" w:hAnsiTheme="minorHAnsi" w:cstheme="minorHAnsi"/>
              </w:rPr>
              <w:t xml:space="preserve">povinen </w:t>
            </w:r>
            <w:r w:rsidRPr="001D28A9">
              <w:rPr>
                <w:rFonts w:asciiTheme="minorHAnsi" w:hAnsiTheme="minorHAnsi" w:cstheme="minorHAnsi"/>
              </w:rPr>
              <w:t xml:space="preserve">uchovávat v rozsahu vyplývajícím z příslušných právních předpisů po dobu tří let od předání převzatého odpadu k dalšímu využití či </w:t>
            </w:r>
            <w:r w:rsidR="00483035" w:rsidRPr="00F11F13">
              <w:rPr>
                <w:rFonts w:asciiTheme="minorHAnsi" w:hAnsiTheme="minorHAnsi" w:cstheme="minorHAnsi"/>
              </w:rPr>
              <w:t>odstranění</w:t>
            </w:r>
            <w:r w:rsidRPr="001D28A9">
              <w:rPr>
                <w:rFonts w:asciiTheme="minorHAnsi" w:hAnsiTheme="minorHAnsi" w:cstheme="minorHAnsi"/>
              </w:rPr>
              <w:t xml:space="preserve">. Povinnost uchovávat doklady dle předchozí věty je zachována i poté, co jinak tato Smlouva </w:t>
            </w:r>
            <w:proofErr w:type="gramStart"/>
            <w:r w:rsidRPr="001D28A9">
              <w:rPr>
                <w:rFonts w:asciiTheme="minorHAnsi" w:hAnsiTheme="minorHAnsi" w:cstheme="minorHAnsi"/>
              </w:rPr>
              <w:t>pozbyde</w:t>
            </w:r>
            <w:proofErr w:type="gramEnd"/>
            <w:r w:rsidRPr="001D28A9">
              <w:rPr>
                <w:rFonts w:asciiTheme="minorHAnsi" w:hAnsiTheme="minorHAnsi" w:cstheme="minorHAnsi"/>
              </w:rPr>
              <w:t xml:space="preserve"> účinnosti.</w:t>
            </w:r>
          </w:p>
          <w:p w14:paraId="74CBBAD1" w14:textId="77777777" w:rsidR="00992DCD" w:rsidRDefault="00992DCD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nahlásit Objednateli všechny nedostatky zjištěné při poskytování </w:t>
            </w:r>
            <w:r w:rsidR="00C82CCD">
              <w:rPr>
                <w:rFonts w:asciiTheme="minorHAnsi" w:hAnsiTheme="minorHAnsi" w:cstheme="minorHAnsi"/>
              </w:rPr>
              <w:t xml:space="preserve">Služby dle tohoto </w:t>
            </w:r>
            <w:r w:rsidR="00C82CCD" w:rsidRPr="00B7047E">
              <w:rPr>
                <w:rFonts w:asciiTheme="minorHAnsi" w:hAnsiTheme="minorHAnsi" w:cstheme="minorHAnsi"/>
              </w:rPr>
              <w:t>Katalogového listu</w:t>
            </w:r>
            <w:r>
              <w:rPr>
                <w:rFonts w:asciiTheme="minorHAnsi" w:hAnsiTheme="minorHAnsi" w:cstheme="minorHAnsi"/>
              </w:rPr>
              <w:t>, vč. jejich specifikace</w:t>
            </w:r>
            <w:r w:rsidR="001D28A9">
              <w:rPr>
                <w:rFonts w:asciiTheme="minorHAnsi" w:hAnsiTheme="minorHAnsi" w:cstheme="minorHAnsi"/>
              </w:rPr>
              <w:t>.</w:t>
            </w:r>
          </w:p>
          <w:p w14:paraId="46CAC8A1" w14:textId="68A2EF81" w:rsidR="00A04DA8" w:rsidRDefault="00A04DA8" w:rsidP="00A04DA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6" w:name="_Ref420333084"/>
            <w:r w:rsidRPr="00A04DA8">
              <w:rPr>
                <w:rFonts w:asciiTheme="minorHAnsi" w:hAnsiTheme="minorHAnsi" w:cstheme="minorHAnsi"/>
              </w:rPr>
              <w:lastRenderedPageBreak/>
              <w:t xml:space="preserve">Jednotlivé Služby dle tohoto Katalogového listu budou poskytovány na základě Objednávek. </w:t>
            </w:r>
            <w:r>
              <w:rPr>
                <w:rFonts w:asciiTheme="minorHAnsi" w:hAnsiTheme="minorHAnsi" w:cstheme="minorHAnsi"/>
              </w:rPr>
              <w:t>O</w:t>
            </w:r>
            <w:r w:rsidRPr="00A04DA8">
              <w:rPr>
                <w:rFonts w:asciiTheme="minorHAnsi" w:hAnsiTheme="minorHAnsi" w:cstheme="minorHAnsi"/>
              </w:rPr>
              <w:t xml:space="preserve">bjednávky činí Objednatel </w:t>
            </w:r>
            <w:r>
              <w:rPr>
                <w:rFonts w:asciiTheme="minorHAnsi" w:hAnsiTheme="minorHAnsi" w:cstheme="minorHAnsi"/>
              </w:rPr>
              <w:t>v souladu s čl. 5 Smlouvy. Vedle toho je Objednatel oprávněn činit Objednávky telefonicky prostřednictvím mimořádné linky, dostupné v režimu 24/7. Tuto linku se Poskytovatel zavazuje zřídit nejpozději do 10 pracovních dnů ode dne nabytí účinnosti Smlouvy.</w:t>
            </w:r>
            <w:bookmarkEnd w:id="6"/>
          </w:p>
          <w:p w14:paraId="6C7FA71F" w14:textId="567CC2E2" w:rsidR="00A04DA8" w:rsidRPr="00A04DA8" w:rsidRDefault="00A04DA8" w:rsidP="00A04DA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04DA8">
              <w:rPr>
                <w:rFonts w:asciiTheme="minorHAnsi" w:hAnsiTheme="minorHAnsi" w:cstheme="minorHAnsi"/>
              </w:rPr>
              <w:t>Poskytovatel bude jednotlivým Objednávkám přidělovat pořadová čísla v oddělených vzestupných řadách pro jednotlivé kalendářní měsíce. Objednávku</w:t>
            </w:r>
            <w:r>
              <w:rPr>
                <w:rFonts w:asciiTheme="minorHAnsi" w:hAnsiTheme="minorHAnsi" w:cstheme="minorHAnsi"/>
              </w:rPr>
              <w:t xml:space="preserve"> učiněnou telefonicky prostřednictvím mimořádné linky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_Ref420333084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040082"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="0091541B">
              <w:rPr>
                <w:rFonts w:asciiTheme="minorHAnsi" w:hAnsiTheme="minorHAnsi" w:cstheme="minorHAnsi"/>
              </w:rPr>
              <w:t xml:space="preserve"> výše je Poskytovatel povinen</w:t>
            </w:r>
            <w:r w:rsidRPr="00A04DA8">
              <w:rPr>
                <w:rFonts w:asciiTheme="minorHAnsi" w:hAnsiTheme="minorHAnsi" w:cstheme="minorHAnsi"/>
              </w:rPr>
              <w:t xml:space="preserve"> písemně</w:t>
            </w:r>
            <w:r w:rsidR="0091541B">
              <w:rPr>
                <w:rFonts w:asciiTheme="minorHAnsi" w:hAnsiTheme="minorHAnsi" w:cstheme="minorHAnsi"/>
              </w:rPr>
              <w:t xml:space="preserve"> (např. prostřednictvím příslušného kontaktního e-mailu)</w:t>
            </w:r>
            <w:r w:rsidRPr="00A04DA8">
              <w:rPr>
                <w:rFonts w:asciiTheme="minorHAnsi" w:hAnsiTheme="minorHAnsi" w:cstheme="minorHAnsi"/>
              </w:rPr>
              <w:t xml:space="preserve"> potvrdit do 2 hodin od jejího obdržení. Rozhodným okamžikem pro dodržení </w:t>
            </w:r>
            <w:r w:rsidR="0091541B">
              <w:rPr>
                <w:rFonts w:asciiTheme="minorHAnsi" w:hAnsiTheme="minorHAnsi" w:cstheme="minorHAnsi"/>
              </w:rPr>
              <w:t>lhůt stanovených v takové Objednávce</w:t>
            </w:r>
            <w:r w:rsidRPr="00A04DA8">
              <w:rPr>
                <w:rFonts w:asciiTheme="minorHAnsi" w:hAnsiTheme="minorHAnsi" w:cstheme="minorHAnsi"/>
              </w:rPr>
              <w:t xml:space="preserve"> je však okamžik </w:t>
            </w:r>
            <w:r w:rsidR="0091541B">
              <w:rPr>
                <w:rFonts w:asciiTheme="minorHAnsi" w:hAnsiTheme="minorHAnsi" w:cstheme="minorHAnsi"/>
              </w:rPr>
              <w:t>přijetí telefonické</w:t>
            </w:r>
            <w:r w:rsidRPr="00A04DA8">
              <w:rPr>
                <w:rFonts w:asciiTheme="minorHAnsi" w:hAnsiTheme="minorHAnsi" w:cstheme="minorHAnsi"/>
              </w:rPr>
              <w:t xml:space="preserve"> Objednávky Poskytovatelem</w:t>
            </w:r>
            <w:r w:rsidR="0091541B">
              <w:rPr>
                <w:rFonts w:asciiTheme="minorHAnsi" w:hAnsiTheme="minorHAnsi" w:cstheme="minorHAnsi"/>
              </w:rPr>
              <w:t xml:space="preserve"> (okamžik ukončení telefonního hovoru, v jehož rámci byla Objednávka učiněna)</w:t>
            </w:r>
            <w:r w:rsidRPr="00A04DA8">
              <w:rPr>
                <w:rFonts w:asciiTheme="minorHAnsi" w:hAnsiTheme="minorHAnsi" w:cstheme="minorHAnsi"/>
              </w:rPr>
              <w:t>.</w:t>
            </w:r>
          </w:p>
          <w:p w14:paraId="783B39E8" w14:textId="77777777" w:rsidR="00321388" w:rsidRPr="00A86F05" w:rsidRDefault="00321388" w:rsidP="0091541B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</w:p>
        </w:tc>
      </w:tr>
      <w:tr w:rsidR="001C55E0" w:rsidRPr="00A86F05" w14:paraId="66A5185D" w14:textId="77777777" w:rsidTr="00E019A5">
        <w:trPr>
          <w:trHeight w:val="37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73F3AF9D" w14:textId="3EB48D3A" w:rsidR="001C55E0" w:rsidRPr="00045A97" w:rsidRDefault="001C55E0" w:rsidP="00E019A5">
            <w:pPr>
              <w:keepLines/>
              <w:widowControl w:val="0"/>
              <w:spacing w:before="20" w:after="20" w:line="288" w:lineRule="auto"/>
              <w:rPr>
                <w:rFonts w:cstheme="minorHAnsi"/>
              </w:rPr>
            </w:pPr>
            <w:r w:rsidRPr="00E019A5">
              <w:rPr>
                <w:rFonts w:ascii="Calibri" w:hAnsi="Calibri" w:cstheme="minorHAnsi"/>
                <w:b/>
                <w:bCs/>
              </w:rPr>
              <w:lastRenderedPageBreak/>
              <w:t>Preventivní odvezení a vrácení nádob</w:t>
            </w:r>
          </w:p>
        </w:tc>
      </w:tr>
      <w:tr w:rsidR="001C55E0" w:rsidRPr="00A86F05" w14:paraId="5A466581" w14:textId="77777777" w:rsidTr="00142EFF">
        <w:trPr>
          <w:trHeight w:val="983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27B03E" w14:textId="32F390D0" w:rsidR="001C55E0" w:rsidRDefault="001C55E0" w:rsidP="00D406F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Služba Preventivní odvezení a vrácení nádob spočívá v odvezení nádob specifikovaných v Objednávce </w:t>
            </w:r>
            <w:r w:rsidR="00B072B8">
              <w:rPr>
                <w:rFonts w:asciiTheme="minorHAnsi" w:hAnsiTheme="minorHAnsi" w:cstheme="minorHAnsi"/>
              </w:rPr>
              <w:t xml:space="preserve">ze stanoviště </w:t>
            </w:r>
            <w:r>
              <w:rPr>
                <w:rFonts w:asciiTheme="minorHAnsi" w:hAnsiTheme="minorHAnsi" w:cstheme="minorHAnsi"/>
              </w:rPr>
              <w:t>a jejich navrácení zpět na stanoviště</w:t>
            </w:r>
            <w:r w:rsidR="00DA16E1">
              <w:rPr>
                <w:rFonts w:asciiTheme="minorHAnsi" w:hAnsiTheme="minorHAnsi" w:cstheme="minorHAnsi"/>
              </w:rPr>
              <w:t xml:space="preserve"> v čase určeném v</w:t>
            </w:r>
            <w:r w:rsidR="00E75F65">
              <w:rPr>
                <w:rFonts w:asciiTheme="minorHAnsi" w:hAnsiTheme="minorHAnsi" w:cstheme="minorHAnsi"/>
              </w:rPr>
              <w:t> </w:t>
            </w:r>
            <w:r w:rsidR="00DA16E1">
              <w:rPr>
                <w:rFonts w:asciiTheme="minorHAnsi" w:hAnsiTheme="minorHAnsi" w:cstheme="minorHAnsi"/>
              </w:rPr>
              <w:t>Objednávce</w:t>
            </w:r>
            <w:r w:rsidR="00E75F65">
              <w:rPr>
                <w:rFonts w:asciiTheme="minorHAnsi" w:hAnsiTheme="minorHAnsi" w:cstheme="minorHAnsi"/>
              </w:rPr>
              <w:t xml:space="preserve">, a to z důvodu ochrany nádob </w:t>
            </w:r>
            <w:r w:rsidR="00E75F65">
              <w:rPr>
                <w:rFonts w:asciiTheme="minorHAnsi" w:hAnsiTheme="minorHAnsi"/>
              </w:rPr>
              <w:t>např. v době konání mimořádných akcí (např. pochod radikálů, aj.)</w:t>
            </w:r>
          </w:p>
          <w:p w14:paraId="188D754E" w14:textId="2307A969" w:rsidR="001C55E0" w:rsidRDefault="001C55E0" w:rsidP="00D406F9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Službu </w:t>
            </w:r>
            <w:r w:rsidRPr="00467DAC">
              <w:rPr>
                <w:rFonts w:asciiTheme="minorHAnsi" w:hAnsiTheme="minorHAnsi" w:cstheme="minorHAnsi"/>
              </w:rPr>
              <w:t xml:space="preserve">je Poskytovatel povinen provést </w:t>
            </w:r>
            <w:r w:rsidR="00B072B8">
              <w:rPr>
                <w:rFonts w:asciiTheme="minorHAnsi" w:hAnsiTheme="minorHAnsi" w:cstheme="minorHAnsi"/>
              </w:rPr>
              <w:t>ve lhůtě uvedené v Objednávce, která nebude kratší než</w:t>
            </w:r>
            <w:r w:rsidRPr="00467DAC">
              <w:rPr>
                <w:rFonts w:asciiTheme="minorHAnsi" w:hAnsiTheme="minorHAnsi" w:cstheme="minorHAnsi"/>
              </w:rPr>
              <w:t xml:space="preserve"> 24 hodin od </w:t>
            </w:r>
            <w:r>
              <w:rPr>
                <w:rFonts w:asciiTheme="minorHAnsi" w:hAnsiTheme="minorHAnsi" w:cstheme="minorHAnsi"/>
              </w:rPr>
              <w:t xml:space="preserve">Objednávky. </w:t>
            </w:r>
          </w:p>
          <w:p w14:paraId="517D983E" w14:textId="77FAD358" w:rsidR="001C55E0" w:rsidRPr="00E019A5" w:rsidRDefault="00DA16E1" w:rsidP="00E019A5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Nádoby budou po dobu jejich odvezení uloženy </w:t>
            </w:r>
            <w:r w:rsidR="001C55E0">
              <w:rPr>
                <w:rFonts w:asciiTheme="minorHAnsi" w:hAnsiTheme="minorHAnsi" w:cstheme="minorHAnsi"/>
              </w:rPr>
              <w:t>na míst</w:t>
            </w:r>
            <w:r>
              <w:rPr>
                <w:rFonts w:asciiTheme="minorHAnsi" w:hAnsiTheme="minorHAnsi" w:cstheme="minorHAnsi"/>
              </w:rPr>
              <w:t>ě</w:t>
            </w:r>
            <w:r w:rsidR="001C55E0">
              <w:rPr>
                <w:rFonts w:asciiTheme="minorHAnsi" w:hAnsiTheme="minorHAnsi" w:cstheme="minorHAnsi"/>
              </w:rPr>
              <w:t xml:space="preserve"> určené</w:t>
            </w:r>
            <w:r w:rsidR="00045A97">
              <w:rPr>
                <w:rFonts w:asciiTheme="minorHAnsi" w:hAnsiTheme="minorHAnsi" w:cstheme="minorHAnsi"/>
              </w:rPr>
              <w:t>m</w:t>
            </w:r>
            <w:r w:rsidR="001C55E0">
              <w:rPr>
                <w:rFonts w:asciiTheme="minorHAnsi" w:hAnsiTheme="minorHAnsi" w:cstheme="minorHAnsi"/>
              </w:rPr>
              <w:t xml:space="preserve"> Poskytovatelem</w:t>
            </w:r>
            <w:r w:rsidR="003802B9">
              <w:rPr>
                <w:rFonts w:asciiTheme="minorHAnsi" w:hAnsiTheme="minorHAnsi" w:cstheme="minorHAnsi"/>
              </w:rPr>
              <w:t xml:space="preserve">, přičemž při uskladnění nádob Poskytovatel nesmí porušit </w:t>
            </w:r>
            <w:r w:rsidR="003802B9" w:rsidRPr="003802B9">
              <w:rPr>
                <w:rFonts w:asciiTheme="minorHAnsi" w:hAnsiTheme="minorHAnsi" w:cstheme="minorHAnsi"/>
              </w:rPr>
              <w:t>obecně závazn</w:t>
            </w:r>
            <w:r w:rsidR="003802B9">
              <w:rPr>
                <w:rFonts w:asciiTheme="minorHAnsi" w:hAnsiTheme="minorHAnsi" w:cstheme="minorHAnsi"/>
              </w:rPr>
              <w:t>é</w:t>
            </w:r>
            <w:r w:rsidR="003802B9" w:rsidRPr="003802B9">
              <w:rPr>
                <w:rFonts w:asciiTheme="minorHAnsi" w:hAnsiTheme="minorHAnsi" w:cstheme="minorHAnsi"/>
              </w:rPr>
              <w:t xml:space="preserve"> právní předpisy</w:t>
            </w:r>
            <w:r w:rsidR="003802B9">
              <w:rPr>
                <w:rFonts w:asciiTheme="minorHAnsi" w:hAnsiTheme="minorHAnsi" w:cstheme="minorHAnsi"/>
              </w:rPr>
              <w:t xml:space="preserve"> (např. jejich umístěním na veřejném prostranství)</w:t>
            </w:r>
            <w:r w:rsidR="00320F9B">
              <w:rPr>
                <w:rFonts w:asciiTheme="minorHAnsi" w:hAnsiTheme="minorHAnsi" w:cstheme="minorHAnsi"/>
              </w:rPr>
              <w:t>.</w:t>
            </w:r>
          </w:p>
        </w:tc>
      </w:tr>
      <w:tr w:rsidR="00321388" w:rsidRPr="00A86F05" w14:paraId="681D2C8B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00B050"/>
          </w:tcPr>
          <w:p w14:paraId="39D2D409" w14:textId="2D4C56C6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7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Fakturace</w:t>
            </w:r>
            <w:bookmarkEnd w:id="7"/>
          </w:p>
        </w:tc>
      </w:tr>
      <w:tr w:rsidR="000A7360" w:rsidRPr="00A86F05" w14:paraId="0A1C8664" w14:textId="77777777" w:rsidTr="00142EFF">
        <w:trPr>
          <w:trHeight w:val="411"/>
        </w:trPr>
        <w:tc>
          <w:tcPr>
            <w:tcW w:w="10348" w:type="dxa"/>
            <w:gridSpan w:val="2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4242B114" w14:textId="77777777" w:rsidR="00575923" w:rsidRPr="00C44D79" w:rsidRDefault="000A7360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Poskytovatel je oprávněn fakturovat cenu </w:t>
            </w:r>
            <w:r w:rsidR="00952191" w:rsidRPr="00C44D79">
              <w:rPr>
                <w:rFonts w:asciiTheme="minorHAnsi" w:hAnsiTheme="minorHAnsi" w:cstheme="minorHAnsi"/>
              </w:rPr>
              <w:t>Služ</w:t>
            </w:r>
            <w:r w:rsidR="00952191">
              <w:rPr>
                <w:rFonts w:asciiTheme="minorHAnsi" w:hAnsiTheme="minorHAnsi" w:cstheme="minorHAnsi"/>
              </w:rPr>
              <w:t>by</w:t>
            </w:r>
            <w:r w:rsidR="00952191" w:rsidRPr="00C44D79">
              <w:rPr>
                <w:rFonts w:asciiTheme="minorHAnsi" w:hAnsiTheme="minorHAnsi" w:cstheme="minorHAnsi"/>
              </w:rPr>
              <w:t xml:space="preserve"> </w:t>
            </w:r>
            <w:r w:rsidRPr="00C44D79">
              <w:rPr>
                <w:rFonts w:asciiTheme="minorHAnsi" w:hAnsiTheme="minorHAnsi" w:cstheme="minorHAnsi"/>
              </w:rPr>
              <w:t xml:space="preserve">dle tohoto </w:t>
            </w:r>
            <w:r w:rsidR="00952191">
              <w:rPr>
                <w:rFonts w:asciiTheme="minorHAnsi" w:hAnsiTheme="minorHAnsi" w:cstheme="minorHAnsi"/>
              </w:rPr>
              <w:t>K</w:t>
            </w:r>
            <w:r w:rsidR="00952191" w:rsidRPr="00C44D79">
              <w:rPr>
                <w:rFonts w:asciiTheme="minorHAnsi" w:hAnsiTheme="minorHAnsi" w:cstheme="minorHAnsi"/>
              </w:rPr>
              <w:t xml:space="preserve">atalogového </w:t>
            </w:r>
            <w:r w:rsidRPr="00C44D79">
              <w:rPr>
                <w:rFonts w:asciiTheme="minorHAnsi" w:hAnsiTheme="minorHAnsi" w:cstheme="minorHAnsi"/>
              </w:rPr>
              <w:t xml:space="preserve">listu </w:t>
            </w:r>
            <w:r w:rsidR="00952191">
              <w:rPr>
                <w:rFonts w:asciiTheme="minorHAnsi" w:hAnsiTheme="minorHAnsi" w:cstheme="minorHAnsi"/>
              </w:rPr>
              <w:t>po jejich</w:t>
            </w:r>
            <w:r w:rsidR="00952191" w:rsidRPr="00C44D79">
              <w:rPr>
                <w:rFonts w:asciiTheme="minorHAnsi" w:hAnsiTheme="minorHAnsi" w:cstheme="minorHAnsi"/>
              </w:rPr>
              <w:t xml:space="preserve"> poskytnutí</w:t>
            </w:r>
            <w:r w:rsidR="00575923" w:rsidRPr="00C44D79">
              <w:rPr>
                <w:rFonts w:asciiTheme="minorHAnsi" w:hAnsiTheme="minorHAnsi" w:cstheme="minorHAnsi"/>
              </w:rPr>
              <w:t xml:space="preserve">. </w:t>
            </w:r>
            <w:r w:rsidR="0083026F" w:rsidRPr="00C44D79">
              <w:rPr>
                <w:rFonts w:asciiTheme="minorHAnsi" w:hAnsiTheme="minorHAnsi" w:cstheme="minorHAnsi"/>
              </w:rPr>
              <w:t xml:space="preserve">Podkladem pro fakturaci je </w:t>
            </w:r>
            <w:r w:rsidR="00896FB1" w:rsidRPr="00C44D79">
              <w:rPr>
                <w:rFonts w:asciiTheme="minorHAnsi" w:hAnsiTheme="minorHAnsi" w:cstheme="minorHAnsi"/>
              </w:rPr>
              <w:t xml:space="preserve">Objednávka. </w:t>
            </w:r>
            <w:r w:rsidR="00575923" w:rsidRPr="00C44D79">
              <w:rPr>
                <w:rFonts w:asciiTheme="minorHAnsi" w:hAnsiTheme="minorHAnsi" w:cstheme="minorHAnsi"/>
              </w:rPr>
              <w:t xml:space="preserve">Fakturu je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575923" w:rsidRPr="00C44D79">
              <w:rPr>
                <w:rFonts w:asciiTheme="minorHAnsi" w:hAnsiTheme="minorHAnsi" w:cstheme="minorHAnsi"/>
              </w:rPr>
              <w:t xml:space="preserve">oprávněn vystavit po akceptaci plnění níže definovaným způsobem. Splatnost faktury činí </w:t>
            </w:r>
            <w:r w:rsidR="0089285E">
              <w:rPr>
                <w:rFonts w:asciiTheme="minorHAnsi" w:hAnsiTheme="minorHAnsi" w:cstheme="minorHAnsi"/>
              </w:rPr>
              <w:t>30</w:t>
            </w:r>
            <w:r w:rsidR="00575923" w:rsidRPr="00C44D79">
              <w:rPr>
                <w:rFonts w:asciiTheme="minorHAnsi" w:hAnsiTheme="minorHAnsi" w:cstheme="minorHAnsi"/>
              </w:rPr>
              <w:t xml:space="preserve"> dní ode dne doručení faktury </w:t>
            </w:r>
            <w:r w:rsidR="00221006" w:rsidRPr="00C44D79">
              <w:rPr>
                <w:rFonts w:asciiTheme="minorHAnsi" w:hAnsiTheme="minorHAnsi" w:cstheme="minorHAnsi"/>
              </w:rPr>
              <w:t>Objednateli</w:t>
            </w:r>
            <w:r w:rsidR="00575923" w:rsidRPr="00C44D79">
              <w:rPr>
                <w:rFonts w:asciiTheme="minorHAnsi" w:hAnsiTheme="minorHAnsi" w:cstheme="minorHAnsi"/>
              </w:rPr>
              <w:t>.</w:t>
            </w:r>
          </w:p>
          <w:p w14:paraId="13902B47" w14:textId="77777777" w:rsidR="00575923" w:rsidRPr="0019724D" w:rsidRDefault="00575923" w:rsidP="00F11F13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19724D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1CD9028F" w14:textId="36D34AAA" w:rsidR="00575923" w:rsidRDefault="00575923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V rámci akceptační procedury předá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896FB1" w:rsidRPr="00C44D79">
              <w:rPr>
                <w:rFonts w:asciiTheme="minorHAnsi" w:hAnsiTheme="minorHAnsi" w:cstheme="minorHAnsi"/>
              </w:rPr>
              <w:t xml:space="preserve">nejpozději do </w:t>
            </w:r>
            <w:proofErr w:type="gramStart"/>
            <w:r w:rsidR="00B95764" w:rsidRPr="00F11F13">
              <w:rPr>
                <w:rFonts w:asciiTheme="minorHAnsi" w:hAnsiTheme="minorHAnsi" w:cstheme="minorHAnsi"/>
              </w:rPr>
              <w:t>10-ti</w:t>
            </w:r>
            <w:proofErr w:type="gramEnd"/>
            <w:r w:rsidR="00B95764" w:rsidRPr="00F11F13">
              <w:rPr>
                <w:rFonts w:asciiTheme="minorHAnsi" w:hAnsiTheme="minorHAnsi" w:cstheme="minorHAnsi"/>
              </w:rPr>
              <w:t xml:space="preserve"> dnů od provedení Služby</w:t>
            </w:r>
            <w:r w:rsidR="00952191">
              <w:rPr>
                <w:rFonts w:asciiTheme="minorHAnsi" w:hAnsiTheme="minorHAnsi" w:cstheme="minorHAnsi"/>
              </w:rPr>
              <w:t xml:space="preserve"> v rozsahu příslušné Objednávky</w:t>
            </w:r>
            <w:r w:rsidRPr="00C44D79">
              <w:rPr>
                <w:rFonts w:asciiTheme="minorHAnsi" w:hAnsiTheme="minorHAnsi" w:cstheme="minorHAnsi"/>
              </w:rPr>
              <w:t xml:space="preserve">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Objednateli </w:t>
            </w:r>
            <w:r w:rsidR="00896FB1" w:rsidRPr="00C44D79">
              <w:rPr>
                <w:rFonts w:asciiTheme="minorHAnsi" w:hAnsiTheme="minorHAnsi" w:cstheme="minorHAnsi"/>
              </w:rPr>
              <w:t>následující doklady</w:t>
            </w:r>
            <w:r w:rsidRPr="00C44D79">
              <w:rPr>
                <w:rFonts w:asciiTheme="minorHAnsi" w:hAnsiTheme="minorHAnsi" w:cstheme="minorHAnsi"/>
              </w:rPr>
              <w:t>:</w:t>
            </w:r>
          </w:p>
          <w:p w14:paraId="62E41A19" w14:textId="77777777" w:rsidR="00E27F98" w:rsidRDefault="00E27F98" w:rsidP="00E019A5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</w:p>
          <w:p w14:paraId="3D159F1F" w14:textId="0468D19F" w:rsidR="00E27F98" w:rsidRPr="00E019A5" w:rsidRDefault="00E27F98" w:rsidP="00E019A5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  <w:iCs/>
              </w:rPr>
            </w:pPr>
            <w:r w:rsidRPr="00E019A5">
              <w:rPr>
                <w:rFonts w:asciiTheme="minorHAnsi" w:hAnsiTheme="minorHAnsi" w:cstheme="minorHAnsi"/>
                <w:i/>
                <w:iCs/>
              </w:rPr>
              <w:t>(v případě Služby Odpad vzniklý při mimořádných událostech)</w:t>
            </w:r>
          </w:p>
          <w:p w14:paraId="4C43F187" w14:textId="77777777" w:rsidR="00575923" w:rsidRPr="0019724D" w:rsidRDefault="00575923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724D">
              <w:rPr>
                <w:rFonts w:asciiTheme="minorHAnsi" w:hAnsiTheme="minorHAnsi" w:cstheme="minorHAnsi"/>
              </w:rPr>
              <w:t>GPS záznamy o provozu vozidel provádějících svoz;</w:t>
            </w:r>
          </w:p>
          <w:p w14:paraId="6595B01E" w14:textId="77777777" w:rsidR="00575923" w:rsidRPr="0019724D" w:rsidRDefault="00575923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744D86">
              <w:rPr>
                <w:rFonts w:asciiTheme="minorHAnsi" w:hAnsiTheme="minorHAnsi" w:cstheme="minorHAnsi"/>
              </w:rPr>
              <w:t>vážní lístky svezeného odpadu</w:t>
            </w:r>
            <w:r w:rsidR="0083026F" w:rsidRPr="00744D86">
              <w:rPr>
                <w:rFonts w:asciiTheme="minorHAnsi" w:hAnsiTheme="minorHAnsi" w:cstheme="minorHAnsi"/>
              </w:rPr>
              <w:t xml:space="preserve">, doklady o </w:t>
            </w:r>
            <w:r w:rsidR="009B5997" w:rsidRPr="00744D86">
              <w:rPr>
                <w:rFonts w:asciiTheme="minorHAnsi" w:hAnsiTheme="minorHAnsi" w:cstheme="minorHAnsi"/>
              </w:rPr>
              <w:t>předání odpadu na zařízení oprávněné k </w:t>
            </w:r>
            <w:r w:rsidR="007F4185" w:rsidRPr="00744D86">
              <w:rPr>
                <w:rFonts w:asciiTheme="minorHAnsi" w:hAnsiTheme="minorHAnsi" w:cstheme="minorHAnsi"/>
              </w:rPr>
              <w:t>odstranění, úpravě či využití odpadů</w:t>
            </w:r>
            <w:r w:rsidR="0089285E" w:rsidRPr="00744D86">
              <w:rPr>
                <w:rFonts w:asciiTheme="minorHAnsi" w:hAnsiTheme="minorHAnsi" w:cstheme="minorHAnsi"/>
              </w:rPr>
              <w:t>, záznamy o provozu použité mechanizace (STAZKY)</w:t>
            </w:r>
            <w:r w:rsidR="00221006" w:rsidRPr="00F11F13">
              <w:rPr>
                <w:rFonts w:asciiTheme="minorHAnsi" w:hAnsiTheme="minorHAnsi" w:cstheme="minorHAnsi"/>
              </w:rPr>
              <w:t>;</w:t>
            </w:r>
          </w:p>
          <w:p w14:paraId="3A925434" w14:textId="77777777" w:rsidR="0083026F" w:rsidRPr="0019724D" w:rsidRDefault="005C033B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724D">
              <w:rPr>
                <w:rFonts w:asciiTheme="minorHAnsi" w:hAnsiTheme="minorHAnsi" w:cstheme="minorHAnsi"/>
              </w:rPr>
              <w:t xml:space="preserve">průběžnou evidenci </w:t>
            </w:r>
            <w:r w:rsidR="00A0669E" w:rsidRPr="0019724D">
              <w:rPr>
                <w:rFonts w:asciiTheme="minorHAnsi" w:hAnsiTheme="minorHAnsi" w:cstheme="minorHAnsi"/>
              </w:rPr>
              <w:t xml:space="preserve">odpadů </w:t>
            </w:r>
            <w:r w:rsidR="00952191" w:rsidRPr="00744D86">
              <w:rPr>
                <w:rFonts w:asciiTheme="minorHAnsi" w:hAnsiTheme="minorHAnsi" w:cstheme="minorHAnsi"/>
              </w:rPr>
              <w:t xml:space="preserve">dle platné legislativy </w:t>
            </w:r>
            <w:r w:rsidRPr="00744D86">
              <w:rPr>
                <w:rFonts w:asciiTheme="minorHAnsi" w:hAnsiTheme="minorHAnsi" w:cstheme="minorHAnsi"/>
              </w:rPr>
              <w:t>za fakturovan</w:t>
            </w:r>
            <w:r w:rsidR="00A0669E" w:rsidRPr="00744D86">
              <w:rPr>
                <w:rFonts w:asciiTheme="minorHAnsi" w:hAnsiTheme="minorHAnsi" w:cstheme="minorHAnsi"/>
              </w:rPr>
              <w:t>ou</w:t>
            </w:r>
            <w:r w:rsidRPr="00744D86">
              <w:rPr>
                <w:rFonts w:asciiTheme="minorHAnsi" w:hAnsiTheme="minorHAnsi" w:cstheme="minorHAnsi"/>
              </w:rPr>
              <w:t xml:space="preserve"> </w:t>
            </w:r>
            <w:r w:rsidR="00F11F13">
              <w:rPr>
                <w:rFonts w:asciiTheme="minorHAnsi" w:hAnsiTheme="minorHAnsi" w:cstheme="minorHAnsi"/>
              </w:rPr>
              <w:t>S</w:t>
            </w:r>
            <w:r w:rsidR="00F11F13" w:rsidRPr="00744D86">
              <w:rPr>
                <w:rFonts w:asciiTheme="minorHAnsi" w:hAnsiTheme="minorHAnsi" w:cstheme="minorHAnsi"/>
              </w:rPr>
              <w:t>lužbu</w:t>
            </w:r>
            <w:r w:rsidR="007B5DD4" w:rsidRPr="00F11F13">
              <w:rPr>
                <w:rFonts w:asciiTheme="minorHAnsi" w:hAnsiTheme="minorHAnsi" w:cstheme="minorHAnsi"/>
              </w:rPr>
              <w:t>;</w:t>
            </w:r>
          </w:p>
          <w:p w14:paraId="1AB5188C" w14:textId="47724A13" w:rsidR="005C033B" w:rsidRDefault="00992DCD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724D">
              <w:rPr>
                <w:rFonts w:asciiTheme="minorHAnsi" w:hAnsiTheme="minorHAnsi" w:cstheme="minorHAnsi"/>
              </w:rPr>
              <w:t>fotodokumentaci provedených úklidů</w:t>
            </w:r>
            <w:r w:rsidR="007B5DD4" w:rsidRPr="0019724D">
              <w:rPr>
                <w:rFonts w:asciiTheme="minorHAnsi" w:hAnsiTheme="minorHAnsi" w:cstheme="minorHAnsi"/>
              </w:rPr>
              <w:t>.</w:t>
            </w:r>
          </w:p>
          <w:p w14:paraId="06909E56" w14:textId="067E5018" w:rsidR="00E27F98" w:rsidRPr="00E019A5" w:rsidRDefault="00E27F98" w:rsidP="00D406F9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  <w:iCs/>
              </w:rPr>
            </w:pPr>
            <w:r w:rsidRPr="00E019A5">
              <w:rPr>
                <w:rFonts w:asciiTheme="minorHAnsi" w:hAnsiTheme="minorHAnsi" w:cstheme="minorHAnsi"/>
                <w:i/>
                <w:iCs/>
              </w:rPr>
              <w:t>(v případě Služby Preventivní odvezení a vrácení nádob)</w:t>
            </w:r>
          </w:p>
          <w:p w14:paraId="2BC750C8" w14:textId="7A20EA2B" w:rsidR="00E27F98" w:rsidRDefault="003802B9" w:rsidP="00D406F9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seznam odvezených a vrácených nádob</w:t>
            </w:r>
          </w:p>
          <w:p w14:paraId="1834691E" w14:textId="77777777" w:rsidR="00E27F98" w:rsidRPr="00744D86" w:rsidRDefault="00E27F98" w:rsidP="00E019A5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307B7B8B" w14:textId="77777777" w:rsidR="0083026F" w:rsidRPr="00C44D79" w:rsidRDefault="00896FB1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K předloženým dokladům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oprávněn do 10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C44D79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akceptoval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plném rozsahu dle učiněné </w:t>
            </w:r>
            <w:r w:rsidR="00221006" w:rsidRPr="00C44D79">
              <w:rPr>
                <w:rFonts w:asciiTheme="minorHAnsi" w:hAnsiTheme="minorHAnsi" w:cstheme="minorHAnsi"/>
              </w:rPr>
              <w:t>Objednávky</w:t>
            </w:r>
            <w:r w:rsidRPr="00C44D79">
              <w:rPr>
                <w:rFonts w:asciiTheme="minorHAnsi" w:hAnsiTheme="minorHAnsi" w:cstheme="minorHAnsi"/>
              </w:rPr>
              <w:t>.</w:t>
            </w:r>
          </w:p>
          <w:p w14:paraId="0C3F3E51" w14:textId="77777777" w:rsidR="00896FB1" w:rsidRPr="00C44D79" w:rsidRDefault="00D665B5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8" w:name="_Ref421655858"/>
            <w:r w:rsidRPr="00C44D79">
              <w:rPr>
                <w:rFonts w:asciiTheme="minorHAnsi" w:hAnsiTheme="minorHAnsi" w:cstheme="minorHAnsi"/>
              </w:rPr>
              <w:t xml:space="preserve">Připomínky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>oprávněn uplatnit v následujících kategoriích:</w:t>
            </w:r>
            <w:bookmarkEnd w:id="8"/>
          </w:p>
          <w:p w14:paraId="71467374" w14:textId="77777777" w:rsidR="00D665B5" w:rsidRPr="00C44D79" w:rsidRDefault="000665BF" w:rsidP="00F11F13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9" w:name="_Ref412154827"/>
            <w:r w:rsidRPr="00C44D79">
              <w:rPr>
                <w:rFonts w:asciiTheme="minorHAnsi" w:hAnsiTheme="minorHAnsi" w:cstheme="minorHAnsi"/>
              </w:rPr>
              <w:lastRenderedPageBreak/>
              <w:t xml:space="preserve">neprovedení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rozsahu dle </w:t>
            </w:r>
            <w:r w:rsidR="00221006" w:rsidRPr="00C44D79">
              <w:rPr>
                <w:rFonts w:asciiTheme="minorHAnsi" w:hAnsiTheme="minorHAnsi" w:cstheme="minorHAnsi"/>
              </w:rPr>
              <w:t>Objednávky</w:t>
            </w:r>
            <w:r w:rsidRPr="00F11F13">
              <w:rPr>
                <w:rFonts w:asciiTheme="minorHAnsi" w:hAnsiTheme="minorHAnsi" w:cstheme="minorHAnsi"/>
              </w:rPr>
              <w:t>;</w:t>
            </w:r>
            <w:bookmarkEnd w:id="9"/>
          </w:p>
          <w:p w14:paraId="36C814AA" w14:textId="77777777" w:rsidR="000665BF" w:rsidRPr="00C44D79" w:rsidRDefault="000665BF" w:rsidP="00F11F13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0" w:name="_Ref412154961"/>
            <w:r w:rsidRPr="00C44D79">
              <w:rPr>
                <w:rFonts w:asciiTheme="minorHAnsi" w:hAnsiTheme="minorHAnsi" w:cstheme="minorHAnsi"/>
              </w:rPr>
              <w:t xml:space="preserve">porušení povinností zakládajících nárok </w:t>
            </w:r>
            <w:r w:rsidR="00F204E5" w:rsidRPr="00C44D79">
              <w:rPr>
                <w:rFonts w:asciiTheme="minorHAnsi" w:hAnsiTheme="minorHAnsi" w:cstheme="minorHAnsi"/>
              </w:rPr>
              <w:t xml:space="preserve">Objednatele </w:t>
            </w:r>
            <w:r w:rsidRPr="00C44D79">
              <w:rPr>
                <w:rFonts w:asciiTheme="minorHAnsi" w:hAnsiTheme="minorHAnsi" w:cstheme="minorHAnsi"/>
              </w:rPr>
              <w:t>na smluvní pokutu;</w:t>
            </w:r>
            <w:bookmarkEnd w:id="10"/>
          </w:p>
          <w:p w14:paraId="34CD8A69" w14:textId="77777777" w:rsidR="000665BF" w:rsidRPr="00221006" w:rsidRDefault="000665BF" w:rsidP="00F11F13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4C43B104" w14:textId="77777777" w:rsidR="00BD0CBB" w:rsidRPr="00A86F05" w:rsidRDefault="00BD0CBB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doložit neoprávněnost připomínek ve lhůtě do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5 dnů ode dne jejich obdržení. V takovém případě </w:t>
            </w:r>
            <w:r w:rsidR="00F204E5">
              <w:rPr>
                <w:rFonts w:asciiTheme="minorHAnsi" w:hAnsiTheme="minorHAnsi" w:cstheme="minorHAnsi"/>
              </w:rPr>
              <w:t>O</w:t>
            </w:r>
            <w:r w:rsidR="00F204E5" w:rsidRPr="00A86F05">
              <w:rPr>
                <w:rFonts w:asciiTheme="minorHAnsi" w:hAnsiTheme="minorHAnsi" w:cstheme="minorHAnsi"/>
              </w:rPr>
              <w:t xml:space="preserve">bjednatel </w:t>
            </w:r>
            <w:r w:rsidRPr="00A86F05">
              <w:rPr>
                <w:rFonts w:asciiTheme="minorHAnsi" w:hAnsiTheme="minorHAnsi" w:cstheme="minorHAnsi"/>
              </w:rPr>
              <w:t xml:space="preserve">takto poskytnuté podklady posoudí a do </w:t>
            </w:r>
            <w:r w:rsidR="00650383">
              <w:rPr>
                <w:rFonts w:asciiTheme="minorHAnsi" w:hAnsiTheme="minorHAnsi" w:cstheme="minorHAnsi"/>
              </w:rPr>
              <w:t>5</w:t>
            </w:r>
            <w:r w:rsidR="00650383" w:rsidRPr="00A86F05">
              <w:rPr>
                <w:rFonts w:asciiTheme="minorHAnsi" w:hAnsiTheme="minorHAnsi" w:cstheme="minorHAnsi"/>
              </w:rPr>
              <w:t xml:space="preserve">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odešle </w:t>
            </w:r>
            <w:r w:rsidR="00F204E5">
              <w:rPr>
                <w:rFonts w:asciiTheme="minorHAnsi" w:hAnsiTheme="minorHAnsi" w:cstheme="minorHAnsi"/>
              </w:rPr>
              <w:t>P</w:t>
            </w:r>
            <w:r w:rsidR="00F204E5" w:rsidRPr="00A86F05">
              <w:rPr>
                <w:rFonts w:asciiTheme="minorHAnsi" w:hAnsiTheme="minorHAnsi" w:cstheme="minorHAnsi"/>
              </w:rPr>
              <w:t xml:space="preserve">oskytovateli </w:t>
            </w:r>
            <w:r w:rsidRPr="00A86F05">
              <w:rPr>
                <w:rFonts w:asciiTheme="minorHAnsi" w:hAnsiTheme="minorHAnsi" w:cstheme="minorHAnsi"/>
              </w:rPr>
              <w:t>nové připomínky</w:t>
            </w:r>
            <w:r w:rsidR="00F204E5"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A86F05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5BEABC3F" w14:textId="77777777" w:rsidR="00EA67DE" w:rsidRPr="0019724D" w:rsidRDefault="00EA67DE" w:rsidP="00F11F13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19724D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574495E7" w14:textId="77777777" w:rsidR="00706D8C" w:rsidRDefault="00C92700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</w:t>
            </w:r>
            <w:r w:rsidR="003A43EB">
              <w:rPr>
                <w:rFonts w:asciiTheme="minorHAnsi" w:hAnsiTheme="minorHAnsi" w:cstheme="minorHAnsi"/>
              </w:rPr>
              <w:t xml:space="preserve">v rámci akceptační procedury připomínky, je Poskytovatel oprávněn vystavit fakturu den následující po marném uplynutí lhůty k uplatnění připomínek. </w:t>
            </w:r>
          </w:p>
          <w:p w14:paraId="7D3790A9" w14:textId="77777777" w:rsidR="00706D8C" w:rsidRDefault="00706D8C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57B5AA1D" w14:textId="77777777" w:rsidR="002D79E2" w:rsidRDefault="00E10E56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nenastane ani jedna ze situací specifikovaných v předchozích dvou větách,</w:t>
            </w:r>
            <w:r w:rsidR="003A43EB">
              <w:rPr>
                <w:rFonts w:asciiTheme="minorHAnsi" w:hAnsiTheme="minorHAnsi" w:cstheme="minorHAnsi"/>
              </w:rPr>
              <w:t xml:space="preserve"> je </w:t>
            </w:r>
            <w:r w:rsidR="00EA67DE" w:rsidRPr="00A86F05">
              <w:rPr>
                <w:rFonts w:asciiTheme="minorHAnsi" w:hAnsiTheme="minorHAnsi" w:cstheme="minorHAnsi"/>
              </w:rPr>
              <w:t xml:space="preserve">Poskytovatel </w:t>
            </w:r>
            <w:r w:rsidR="003A43EB">
              <w:rPr>
                <w:rFonts w:asciiTheme="minorHAnsi" w:hAnsiTheme="minorHAnsi" w:cstheme="minorHAnsi"/>
              </w:rPr>
              <w:t xml:space="preserve">oprávněn vystavit </w:t>
            </w:r>
            <w:r w:rsidR="00EA67DE" w:rsidRPr="00A86F05">
              <w:rPr>
                <w:rFonts w:asciiTheme="minorHAnsi" w:hAnsiTheme="minorHAnsi" w:cstheme="minorHAnsi"/>
              </w:rPr>
              <w:t xml:space="preserve">fakturu za poskytování </w:t>
            </w:r>
            <w:r w:rsidR="005772C0">
              <w:rPr>
                <w:rFonts w:asciiTheme="minorHAnsi" w:hAnsiTheme="minorHAnsi" w:cstheme="minorHAnsi"/>
              </w:rPr>
              <w:t>S</w:t>
            </w:r>
            <w:r w:rsidR="005772C0" w:rsidRPr="00A86F05">
              <w:rPr>
                <w:rFonts w:asciiTheme="minorHAnsi" w:hAnsiTheme="minorHAnsi" w:cstheme="minorHAnsi"/>
              </w:rPr>
              <w:t xml:space="preserve">lužeb </w:t>
            </w:r>
            <w:r w:rsidR="002D79E2">
              <w:rPr>
                <w:rFonts w:asciiTheme="minorHAnsi" w:hAnsiTheme="minorHAnsi" w:cstheme="minorHAnsi"/>
              </w:rPr>
              <w:t>dle příslušné Objednávky</w:t>
            </w:r>
            <w:r w:rsidR="00EA67DE" w:rsidRPr="00A86F05">
              <w:rPr>
                <w:rFonts w:asciiTheme="minorHAnsi" w:hAnsiTheme="minorHAnsi" w:cstheme="minorHAnsi"/>
              </w:rPr>
              <w:t xml:space="preserve"> </w:t>
            </w:r>
            <w:r w:rsidR="003A43EB">
              <w:rPr>
                <w:rFonts w:asciiTheme="minorHAnsi" w:hAnsiTheme="minorHAnsi" w:cstheme="minorHAnsi"/>
              </w:rPr>
              <w:t>den po obdržení vyjádření Objednatele k</w:t>
            </w:r>
            <w:r w:rsidR="00706D8C">
              <w:rPr>
                <w:rFonts w:asciiTheme="minorHAnsi" w:hAnsiTheme="minorHAnsi" w:cstheme="minorHAnsi"/>
              </w:rPr>
              <w:t xml:space="preserve"> předloženým </w:t>
            </w:r>
            <w:r w:rsidR="003A43EB">
              <w:rPr>
                <w:rFonts w:asciiTheme="minorHAnsi" w:hAnsiTheme="minorHAnsi" w:cstheme="minorHAnsi"/>
              </w:rPr>
              <w:t>dokla</w:t>
            </w:r>
            <w:r w:rsidR="008F2089">
              <w:rPr>
                <w:rFonts w:asciiTheme="minorHAnsi" w:hAnsiTheme="minorHAnsi" w:cstheme="minorHAnsi"/>
              </w:rPr>
              <w:t xml:space="preserve">dům o neoprávněnosti připomínek. </w:t>
            </w:r>
          </w:p>
          <w:p w14:paraId="6F4C0B26" w14:textId="77777777" w:rsidR="002D79E2" w:rsidRDefault="008F2089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</w:t>
            </w:r>
            <w:r w:rsidR="00706D8C">
              <w:rPr>
                <w:rFonts w:asciiTheme="minorHAnsi" w:hAnsiTheme="minorHAnsi" w:cstheme="minorHAnsi"/>
              </w:rPr>
              <w:t> souladu 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06D8C">
              <w:rPr>
                <w:rFonts w:asciiTheme="minorHAnsi" w:hAnsiTheme="minorHAnsi" w:cstheme="minorHAnsi"/>
              </w:rPr>
              <w:t>vyjádřením Objednatele k jejich dokládané neoprávněnosti.</w:t>
            </w:r>
            <w:r w:rsidR="00EA67DE"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5354B13B" w14:textId="77777777" w:rsidR="002D79E2" w:rsidRDefault="00706D8C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však ohledně oprávněnosti připomínek bude nadále přetrvávat nesouhlas, zohlední Poskytovatel v rámci fakturace připomínky Objednatele</w:t>
            </w:r>
            <w:r w:rsidR="00C84A01"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 xml:space="preserve">upravené </w:t>
            </w:r>
            <w:r w:rsidR="00C84A01">
              <w:rPr>
                <w:rFonts w:asciiTheme="minorHAnsi" w:hAnsiTheme="minorHAnsi" w:cstheme="minorHAnsi"/>
              </w:rPr>
              <w:t>v</w:t>
            </w:r>
            <w:r w:rsidR="00915F12">
              <w:rPr>
                <w:rFonts w:asciiTheme="minorHAnsi" w:hAnsiTheme="minorHAnsi" w:cstheme="minorHAnsi"/>
              </w:rPr>
              <w:t> </w:t>
            </w:r>
            <w:r w:rsidR="00C84A01">
              <w:rPr>
                <w:rFonts w:asciiTheme="minorHAnsi" w:hAnsiTheme="minorHAnsi" w:cstheme="minorHAnsi"/>
              </w:rPr>
              <w:t>rozsahu</w:t>
            </w:r>
            <w:r w:rsidR="00915F1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>v jakém dle vyjádření Objednatele k předloženým dokladům o neoprávněnosti připomínek bude mezi smluvními stranami panovat shoda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73200B28" w14:textId="77777777" w:rsidR="00706D8C" w:rsidRDefault="00706D8C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po </w:t>
            </w:r>
            <w:r w:rsidR="002D79E2">
              <w:rPr>
                <w:rFonts w:asciiTheme="minorHAnsi" w:hAnsiTheme="minorHAnsi" w:cstheme="minorHAnsi"/>
              </w:rPr>
              <w:t xml:space="preserve">konečném </w:t>
            </w:r>
            <w:r>
              <w:rPr>
                <w:rFonts w:asciiTheme="minorHAnsi" w:hAnsiTheme="minorHAnsi" w:cstheme="minorHAnsi"/>
              </w:rPr>
              <w:t>dosažení</w:t>
            </w:r>
            <w:r w:rsidR="002D79E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shody ohledně připomínek dojde ke změně jejich</w:t>
            </w:r>
            <w:r w:rsidR="002D79E2">
              <w:rPr>
                <w:rFonts w:asciiTheme="minorHAnsi" w:hAnsiTheme="minorHAnsi" w:cstheme="minorHAnsi"/>
              </w:rPr>
              <w:t xml:space="preserve"> akceptovaného</w:t>
            </w:r>
            <w:r>
              <w:rPr>
                <w:rFonts w:asciiTheme="minorHAnsi" w:hAnsiTheme="minorHAnsi" w:cstheme="minorHAnsi"/>
              </w:rPr>
              <w:t xml:space="preserve"> rozsahu</w:t>
            </w:r>
            <w:r w:rsidR="002D79E2">
              <w:rPr>
                <w:rFonts w:asciiTheme="minorHAnsi" w:hAnsiTheme="minorHAnsi" w:cstheme="minorHAnsi"/>
              </w:rPr>
              <w:t xml:space="preserve"> oproti předchozímu odstavci</w:t>
            </w:r>
            <w:r>
              <w:rPr>
                <w:rFonts w:asciiTheme="minorHAnsi" w:hAnsiTheme="minorHAnsi" w:cstheme="minorHAnsi"/>
              </w:rPr>
              <w:t xml:space="preserve">, bude dopad této změny reflektován ve faktuře za </w:t>
            </w:r>
            <w:r w:rsidR="002D79E2">
              <w:rPr>
                <w:rFonts w:asciiTheme="minorHAnsi" w:hAnsiTheme="minorHAnsi" w:cstheme="minorHAnsi"/>
              </w:rPr>
              <w:t>Služby dle nejbližší vystavené Objednávky následující okamžik dosažení konečné shody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2F58FEDC" w14:textId="21FCC9BA" w:rsidR="00EA67DE" w:rsidRPr="00A86F05" w:rsidRDefault="00EA67DE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</w:t>
            </w:r>
            <w:r w:rsidR="002E612C">
              <w:rPr>
                <w:rFonts w:asciiTheme="minorHAnsi" w:hAnsiTheme="minorHAnsi" w:cstheme="minorHAnsi"/>
              </w:rPr>
              <w:t xml:space="preserve">součinu množství odstraněného </w:t>
            </w:r>
            <w:r w:rsidR="00CF461D">
              <w:rPr>
                <w:rFonts w:asciiTheme="minorHAnsi" w:hAnsiTheme="minorHAnsi" w:cstheme="minorHAnsi"/>
              </w:rPr>
              <w:t xml:space="preserve">či využitého </w:t>
            </w:r>
            <w:r w:rsidR="002E612C">
              <w:rPr>
                <w:rFonts w:asciiTheme="minorHAnsi" w:hAnsiTheme="minorHAnsi" w:cstheme="minorHAnsi"/>
              </w:rPr>
              <w:t xml:space="preserve">odpadu </w:t>
            </w:r>
            <w:r w:rsidR="002D79E2">
              <w:rPr>
                <w:rFonts w:asciiTheme="minorHAnsi" w:hAnsiTheme="minorHAnsi" w:cstheme="minorHAnsi"/>
              </w:rPr>
              <w:t xml:space="preserve">v rámci Služeb dle </w:t>
            </w:r>
            <w:r w:rsidR="0091541B">
              <w:rPr>
                <w:rFonts w:asciiTheme="minorHAnsi" w:hAnsiTheme="minorHAnsi" w:cstheme="minorHAnsi"/>
              </w:rPr>
              <w:t xml:space="preserve">příslušných </w:t>
            </w:r>
            <w:r w:rsidR="002D79E2">
              <w:rPr>
                <w:rFonts w:asciiTheme="minorHAnsi" w:hAnsiTheme="minorHAnsi" w:cstheme="minorHAnsi"/>
              </w:rPr>
              <w:t>Objednáv</w:t>
            </w:r>
            <w:r w:rsidR="0091541B">
              <w:rPr>
                <w:rFonts w:asciiTheme="minorHAnsi" w:hAnsiTheme="minorHAnsi" w:cstheme="minorHAnsi"/>
              </w:rPr>
              <w:t>e</w:t>
            </w:r>
            <w:r w:rsidR="002D79E2">
              <w:rPr>
                <w:rFonts w:asciiTheme="minorHAnsi" w:hAnsiTheme="minorHAnsi" w:cstheme="minorHAnsi"/>
              </w:rPr>
              <w:t>k</w:t>
            </w:r>
            <w:r w:rsidR="0091541B">
              <w:rPr>
                <w:rFonts w:asciiTheme="minorHAnsi" w:hAnsiTheme="minorHAnsi" w:cstheme="minorHAnsi"/>
              </w:rPr>
              <w:t xml:space="preserve"> za daný kalendářní měsíc</w:t>
            </w:r>
            <w:r w:rsidR="002E612C">
              <w:rPr>
                <w:rFonts w:asciiTheme="minorHAnsi" w:hAnsiTheme="minorHAnsi" w:cstheme="minorHAnsi"/>
              </w:rPr>
              <w:t xml:space="preserve"> a jednotkové ceny stanovené pro příslušnou kategorii odpadu uvedené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="00ED012D">
              <w:rPr>
                <w:rFonts w:asciiTheme="minorHAnsi" w:hAnsiTheme="minorHAnsi" w:cstheme="minorHAnsi"/>
              </w:rPr>
              <w:t>v kapitole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9666CC" w:rsidRP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040082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 w:rsidR="002E612C">
              <w:rPr>
                <w:rFonts w:asciiTheme="minorHAnsi" w:hAnsiTheme="minorHAnsi" w:cstheme="minorHAnsi"/>
              </w:rPr>
              <w:t>K</w:t>
            </w:r>
            <w:r w:rsidR="002E612C" w:rsidRPr="00A86F05">
              <w:rPr>
                <w:rFonts w:asciiTheme="minorHAnsi" w:hAnsiTheme="minorHAnsi" w:cstheme="minorHAnsi"/>
              </w:rPr>
              <w:t xml:space="preserve">atalogového </w:t>
            </w:r>
            <w:r w:rsidRPr="00A86F05">
              <w:rPr>
                <w:rFonts w:asciiTheme="minorHAnsi" w:hAnsiTheme="minorHAnsi" w:cstheme="minorHAnsi"/>
              </w:rPr>
              <w:t>listu. Takto vypočtená částka bude:</w:t>
            </w:r>
          </w:p>
          <w:p w14:paraId="0436052F" w14:textId="3D2280A6" w:rsidR="00EA67DE" w:rsidRPr="00A86F05" w:rsidRDefault="00EA67DE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</w:t>
            </w:r>
            <w:r w:rsidR="007B5DD4" w:rsidRPr="007B5DD4">
              <w:rPr>
                <w:rFonts w:asciiTheme="minorHAnsi" w:hAnsiTheme="minorHAnsi" w:cstheme="minorHAnsi"/>
              </w:rPr>
              <w:t xml:space="preserve">v rozsahu připomínek dle bodu </w:t>
            </w:r>
            <w:r w:rsidR="00F556C2">
              <w:rPr>
                <w:rFonts w:asciiTheme="minorHAnsi" w:hAnsiTheme="minorHAnsi" w:cstheme="minorHAnsi"/>
              </w:rPr>
              <w:fldChar w:fldCharType="begin"/>
            </w:r>
            <w:r w:rsidR="00F556C2">
              <w:rPr>
                <w:rFonts w:asciiTheme="minorHAnsi" w:hAnsiTheme="minorHAnsi" w:cstheme="minorHAnsi"/>
              </w:rPr>
              <w:instrText xml:space="preserve"> REF _Ref421655858 \r \h </w:instrText>
            </w:r>
            <w:r w:rsidR="00F556C2">
              <w:rPr>
                <w:rFonts w:asciiTheme="minorHAnsi" w:hAnsiTheme="minorHAnsi" w:cstheme="minorHAnsi"/>
              </w:rPr>
            </w:r>
            <w:r w:rsidR="00F556C2">
              <w:rPr>
                <w:rFonts w:asciiTheme="minorHAnsi" w:hAnsiTheme="minorHAnsi" w:cstheme="minorHAnsi"/>
              </w:rPr>
              <w:fldChar w:fldCharType="separate"/>
            </w:r>
            <w:r w:rsidR="00040082">
              <w:rPr>
                <w:rFonts w:asciiTheme="minorHAnsi" w:hAnsiTheme="minorHAnsi" w:cstheme="minorHAnsi"/>
              </w:rPr>
              <w:t>7</w:t>
            </w:r>
            <w:r w:rsidR="00F556C2">
              <w:rPr>
                <w:rFonts w:asciiTheme="minorHAnsi" w:hAnsiTheme="minorHAnsi" w:cstheme="minorHAnsi"/>
              </w:rPr>
              <w:fldChar w:fldCharType="end"/>
            </w:r>
            <w:r w:rsidR="00B02FE3">
              <w:rPr>
                <w:rFonts w:asciiTheme="minorHAnsi" w:hAnsiTheme="minorHAnsi" w:cstheme="minorHAnsi"/>
              </w:rPr>
              <w:t xml:space="preserve">. </w:t>
            </w:r>
            <w:r w:rsidR="007B5DD4" w:rsidRPr="007B5DD4">
              <w:rPr>
                <w:rFonts w:asciiTheme="minorHAnsi" w:hAnsiTheme="minorHAnsi" w:cstheme="minorHAnsi"/>
              </w:rPr>
              <w:fldChar w:fldCharType="begin"/>
            </w:r>
            <w:r w:rsidR="007B5DD4" w:rsidRPr="007B5DD4">
              <w:rPr>
                <w:rFonts w:asciiTheme="minorHAnsi" w:hAnsiTheme="minorHAnsi" w:cstheme="minorHAnsi"/>
              </w:rPr>
              <w:instrText xml:space="preserve"> REF _Ref412154827 \r \h  \* MERGEFORMAT </w:instrText>
            </w:r>
            <w:r w:rsidR="007B5DD4" w:rsidRPr="007B5DD4">
              <w:rPr>
                <w:rFonts w:asciiTheme="minorHAnsi" w:hAnsiTheme="minorHAnsi" w:cstheme="minorHAnsi"/>
              </w:rPr>
            </w:r>
            <w:r w:rsidR="007B5DD4" w:rsidRPr="007B5DD4">
              <w:rPr>
                <w:rFonts w:asciiTheme="minorHAnsi" w:hAnsiTheme="minorHAnsi" w:cstheme="minorHAnsi"/>
              </w:rPr>
              <w:fldChar w:fldCharType="separate"/>
            </w:r>
            <w:r w:rsidR="00040082">
              <w:rPr>
                <w:rFonts w:asciiTheme="minorHAnsi" w:hAnsiTheme="minorHAnsi" w:cstheme="minorHAnsi"/>
              </w:rPr>
              <w:t>A</w:t>
            </w:r>
            <w:r w:rsidR="007B5DD4" w:rsidRPr="007B5DD4">
              <w:rPr>
                <w:rFonts w:asciiTheme="minorHAnsi" w:hAnsiTheme="minorHAnsi" w:cstheme="minorHAnsi"/>
              </w:rPr>
              <w:fldChar w:fldCharType="end"/>
            </w:r>
            <w:r w:rsidR="007B5DD4" w:rsidRPr="007B5DD4">
              <w:rPr>
                <w:rFonts w:asciiTheme="minorHAnsi" w:hAnsiTheme="minorHAnsi" w:cstheme="minorHAnsi"/>
              </w:rPr>
              <w:t xml:space="preserve"> výše z důvodu neprovedení Služeb v rozsahu specifikovaném Objednávkou</w:t>
            </w:r>
            <w:r w:rsidR="007B5DD4" w:rsidRPr="008D0FF0">
              <w:rPr>
                <w:rFonts w:asciiTheme="minorHAnsi" w:hAnsiTheme="minorHAnsi" w:cstheme="minorHAnsi"/>
              </w:rPr>
              <w:t>; následně</w:t>
            </w:r>
          </w:p>
          <w:p w14:paraId="27718596" w14:textId="6B0948F9" w:rsidR="00EA67DE" w:rsidRPr="00A86F05" w:rsidRDefault="00EA67DE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uplatněné smluvní pokuty v rozsahu připomínek dle bodu </w:t>
            </w:r>
            <w:r w:rsidR="00F556C2">
              <w:rPr>
                <w:rFonts w:asciiTheme="minorHAnsi" w:hAnsiTheme="minorHAnsi" w:cstheme="minorHAnsi"/>
              </w:rPr>
              <w:fldChar w:fldCharType="begin"/>
            </w:r>
            <w:r w:rsidR="00F556C2">
              <w:rPr>
                <w:rFonts w:asciiTheme="minorHAnsi" w:hAnsiTheme="minorHAnsi" w:cstheme="minorHAnsi"/>
              </w:rPr>
              <w:instrText xml:space="preserve"> REF _Ref421655858 \r \h </w:instrText>
            </w:r>
            <w:r w:rsidR="00F556C2">
              <w:rPr>
                <w:rFonts w:asciiTheme="minorHAnsi" w:hAnsiTheme="minorHAnsi" w:cstheme="minorHAnsi"/>
              </w:rPr>
            </w:r>
            <w:r w:rsidR="00F556C2">
              <w:rPr>
                <w:rFonts w:asciiTheme="minorHAnsi" w:hAnsiTheme="minorHAnsi" w:cstheme="minorHAnsi"/>
              </w:rPr>
              <w:fldChar w:fldCharType="separate"/>
            </w:r>
            <w:r w:rsidR="00040082">
              <w:rPr>
                <w:rFonts w:asciiTheme="minorHAnsi" w:hAnsiTheme="minorHAnsi" w:cstheme="minorHAnsi"/>
              </w:rPr>
              <w:t>7</w:t>
            </w:r>
            <w:r w:rsidR="00F556C2">
              <w:rPr>
                <w:rFonts w:asciiTheme="minorHAnsi" w:hAnsiTheme="minorHAnsi" w:cstheme="minorHAnsi"/>
              </w:rPr>
              <w:fldChar w:fldCharType="end"/>
            </w:r>
            <w:r w:rsidR="00B02FE3"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_Ref412154961 \r \h </w:instrText>
            </w:r>
            <w:r w:rsid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040082">
              <w:rPr>
                <w:rFonts w:asciiTheme="minorHAnsi" w:hAnsiTheme="minorHAnsi" w:cstheme="minorHAnsi"/>
              </w:rPr>
              <w:t>B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491E9718" w14:textId="77777777" w:rsidR="000A7360" w:rsidRDefault="009666CC" w:rsidP="0091541B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Výše uvedený mechanismus bude zachycen ve struktuře faktury. Přílohou faktury bude </w:t>
            </w:r>
            <w:r w:rsidR="007B5DD4">
              <w:rPr>
                <w:rFonts w:asciiTheme="minorHAnsi" w:hAnsiTheme="minorHAnsi" w:cstheme="minorHAnsi"/>
              </w:rPr>
              <w:t xml:space="preserve">kopie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>bjednávk</w:t>
            </w:r>
            <w:r w:rsidR="007B5DD4">
              <w:rPr>
                <w:rFonts w:asciiTheme="minorHAnsi" w:hAnsiTheme="minorHAnsi" w:cstheme="minorHAnsi"/>
              </w:rPr>
              <w:t>y</w:t>
            </w:r>
            <w:r w:rsidR="0091541B">
              <w:rPr>
                <w:rFonts w:asciiTheme="minorHAnsi" w:hAnsiTheme="minorHAnsi" w:cstheme="minorHAnsi"/>
              </w:rPr>
              <w:t xml:space="preserve"> </w:t>
            </w:r>
            <w:r w:rsidR="0091541B" w:rsidRPr="0091541B">
              <w:rPr>
                <w:rFonts w:asciiTheme="minorHAnsi" w:hAnsiTheme="minorHAnsi" w:cstheme="minorHAnsi"/>
              </w:rPr>
              <w:t>(resp. písemná potvrzení telefonických Objednávek ze strany Poskytovatele, byla-li Objednávka učiněna telefonicky)</w:t>
            </w:r>
            <w:r w:rsidR="001977E8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 xml:space="preserve">bjednatele </w:t>
            </w:r>
            <w:r w:rsidRPr="00A86F05">
              <w:rPr>
                <w:rFonts w:asciiTheme="minorHAnsi" w:hAnsiTheme="minorHAnsi" w:cstheme="minorHAnsi"/>
              </w:rPr>
              <w:t>vznesené v rámci shora specifikované akceptační procedury</w:t>
            </w:r>
            <w:r w:rsidR="001977E8"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  <w:p w14:paraId="35975820" w14:textId="77777777" w:rsidR="00C763F6" w:rsidRPr="00A86F05" w:rsidRDefault="00C763F6" w:rsidP="00F556C2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</w:p>
        </w:tc>
      </w:tr>
      <w:tr w:rsidR="00321388" w:rsidRPr="00A86F05" w14:paraId="089EA3FD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35C57BD" w14:textId="16440F8B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1" w:name="_Ref41633548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1"/>
          </w:p>
        </w:tc>
      </w:tr>
      <w:tr w:rsidR="00226F0D" w:rsidRPr="00A86F05" w14:paraId="7DE8A032" w14:textId="77777777" w:rsidTr="00142EFF">
        <w:trPr>
          <w:trHeight w:val="396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905C879" w14:textId="77777777" w:rsidR="00216D51" w:rsidRPr="008D0FF0" w:rsidRDefault="0091541B" w:rsidP="008D0FF0">
            <w:pPr>
              <w:pStyle w:val="Zkladntext"/>
              <w:spacing w:after="0"/>
              <w:ind w:left="7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 w:rsidR="002D79E2">
              <w:rPr>
                <w:rFonts w:asciiTheme="minorHAnsi" w:hAnsiTheme="minorHAnsi" w:cstheme="minorHAnsi"/>
                <w:i/>
                <w:sz w:val="22"/>
                <w:szCs w:val="22"/>
              </w:rPr>
              <w:t>euplatní se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321388" w:rsidRPr="00A86F05" w14:paraId="766AE971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056A0FD" w14:textId="77777777" w:rsidR="00321388" w:rsidRPr="00A86F05" w:rsidRDefault="00992DCD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02C650C1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8A8497" w14:textId="77777777" w:rsidR="00ED012D" w:rsidRPr="00C44407" w:rsidRDefault="00ED012D" w:rsidP="00ED012D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C44407">
              <w:rPr>
                <w:rFonts w:cstheme="minorHAnsi"/>
              </w:rPr>
              <w:t>Objednateli náleží následující smluvní pokuty za porušení povinností při poskytování Služeb dle tohoto Katalogového listu:</w:t>
            </w:r>
          </w:p>
          <w:p w14:paraId="230D8E77" w14:textId="77777777" w:rsidR="00ED012D" w:rsidRPr="00DB5D63" w:rsidRDefault="00ED012D" w:rsidP="008D0FF0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ind w:left="360"/>
              <w:jc w:val="both"/>
              <w:rPr>
                <w:rFonts w:cstheme="minorHAnsi"/>
              </w:rPr>
            </w:pPr>
          </w:p>
          <w:p w14:paraId="5A1F3D93" w14:textId="44AEEC77" w:rsidR="00ED012D" w:rsidRPr="00944C81" w:rsidRDefault="00B95764" w:rsidP="00ED012D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ind w:left="357" w:hanging="357"/>
              <w:jc w:val="both"/>
              <w:rPr>
                <w:rFonts w:eastAsia="MS ??" w:cstheme="minorHAnsi"/>
              </w:rPr>
            </w:pPr>
            <w:r w:rsidRPr="000C2FA4">
              <w:rPr>
                <w:rFonts w:eastAsia="MS ??" w:cstheme="minorHAnsi"/>
              </w:rPr>
              <w:lastRenderedPageBreak/>
              <w:t xml:space="preserve">V případě neprovedení </w:t>
            </w:r>
            <w:r w:rsidR="002D79E2" w:rsidRPr="000C2FA4">
              <w:rPr>
                <w:rFonts w:eastAsia="MS ??" w:cstheme="minorHAnsi"/>
              </w:rPr>
              <w:t xml:space="preserve">Služby </w:t>
            </w:r>
            <w:r w:rsidRPr="000C2FA4">
              <w:rPr>
                <w:rFonts w:eastAsia="MS ??" w:cstheme="minorHAnsi"/>
              </w:rPr>
              <w:t>v rozsahu dle Objednávky</w:t>
            </w:r>
            <w:r w:rsidR="00FC66F1" w:rsidRPr="000C2FA4">
              <w:rPr>
                <w:rFonts w:eastAsia="MS ??" w:cstheme="minorHAnsi"/>
              </w:rPr>
              <w:t xml:space="preserve"> smluvní pokuta ve výši </w:t>
            </w:r>
            <w:r w:rsidR="007B63B1" w:rsidRPr="000C2FA4">
              <w:rPr>
                <w:rFonts w:eastAsia="MS ??" w:cstheme="minorHAnsi"/>
              </w:rPr>
              <w:t>5</w:t>
            </w:r>
            <w:r w:rsidR="0091541B" w:rsidRPr="000C2FA4">
              <w:rPr>
                <w:rFonts w:eastAsia="MS ??" w:cstheme="minorHAnsi"/>
              </w:rPr>
              <w:t>.</w:t>
            </w:r>
            <w:r w:rsidR="007B63B1" w:rsidRPr="000C2FA4">
              <w:rPr>
                <w:rFonts w:eastAsia="MS ??" w:cstheme="minorHAnsi"/>
              </w:rPr>
              <w:t xml:space="preserve">000 </w:t>
            </w:r>
            <w:r w:rsidR="00FC66F1" w:rsidRPr="000C2FA4">
              <w:rPr>
                <w:rFonts w:eastAsia="MS ??" w:cstheme="minorHAnsi"/>
              </w:rPr>
              <w:t>Kč za každý jednotlivý případ takového porušení</w:t>
            </w:r>
            <w:r w:rsidR="002D79E2" w:rsidRPr="00142EFF">
              <w:rPr>
                <w:rFonts w:eastAsia="MS ??" w:cstheme="minorHAnsi"/>
              </w:rPr>
              <w:t>;</w:t>
            </w:r>
          </w:p>
          <w:p w14:paraId="7D4CB4F0" w14:textId="53EA63AB" w:rsidR="001A194A" w:rsidRPr="00A86F05" w:rsidRDefault="00ED012D" w:rsidP="008D21DF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ind w:left="357" w:hanging="357"/>
              <w:jc w:val="both"/>
              <w:rPr>
                <w:rFonts w:cstheme="minorHAnsi"/>
              </w:rPr>
            </w:pPr>
            <w:r w:rsidRPr="000C2FA4">
              <w:rPr>
                <w:rFonts w:eastAsia="MS ??" w:cstheme="minorHAnsi"/>
              </w:rPr>
              <w:t xml:space="preserve">V případě porušení jakékoli jiné povinnosti vyplývající pro Poskytovatele z tohoto Katalogového listu pokuta v částce </w:t>
            </w:r>
            <w:r w:rsidR="007B63B1" w:rsidRPr="000C2FA4">
              <w:rPr>
                <w:rFonts w:eastAsia="MS ??" w:cstheme="minorHAnsi"/>
              </w:rPr>
              <w:t>1</w:t>
            </w:r>
            <w:r w:rsidR="0091541B" w:rsidRPr="000C2FA4">
              <w:rPr>
                <w:rFonts w:eastAsia="MS ??" w:cstheme="minorHAnsi"/>
              </w:rPr>
              <w:t>.</w:t>
            </w:r>
            <w:r w:rsidR="007B63B1" w:rsidRPr="000C2FA4">
              <w:rPr>
                <w:rFonts w:eastAsia="MS ??" w:cstheme="minorHAnsi"/>
              </w:rPr>
              <w:t xml:space="preserve">000 </w:t>
            </w:r>
            <w:r w:rsidRPr="000C2FA4">
              <w:rPr>
                <w:rFonts w:eastAsia="MS ??" w:cstheme="minorHAnsi"/>
              </w:rPr>
              <w:t>Kč za každý jednotlivý případ takového porušení.</w:t>
            </w:r>
          </w:p>
        </w:tc>
      </w:tr>
      <w:tr w:rsidR="008C3BE4" w:rsidRPr="00A86F05" w14:paraId="6D9B45C9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D14AF71" w14:textId="77777777" w:rsidR="008C3BE4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</w:t>
            </w:r>
            <w:r w:rsidR="00B526C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6E7CF543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1956D21" w14:textId="2A06C467" w:rsidR="0050441A" w:rsidRDefault="0050441A" w:rsidP="00227C76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82910">
              <w:rPr>
                <w:rFonts w:asciiTheme="minorHAnsi" w:hAnsiTheme="minorHAnsi" w:cstheme="minorHAnsi"/>
              </w:rPr>
              <w:t xml:space="preserve">zákon č. </w:t>
            </w:r>
            <w:r>
              <w:rPr>
                <w:rFonts w:asciiTheme="minorHAnsi" w:hAnsiTheme="minorHAnsi" w:cstheme="minorHAnsi"/>
              </w:rPr>
              <w:t>541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  <w:r w:rsidRPr="00582910">
              <w:rPr>
                <w:rFonts w:asciiTheme="minorHAnsi" w:hAnsiTheme="minorHAnsi" w:cstheme="minorHAnsi"/>
              </w:rPr>
              <w:t xml:space="preserve"> Sb., </w:t>
            </w:r>
            <w:r w:rsidRPr="00C70DE8">
              <w:rPr>
                <w:rFonts w:asciiTheme="minorHAnsi" w:hAnsiTheme="minorHAnsi" w:cstheme="minorHAnsi"/>
              </w:rPr>
              <w:t>o odpadech, ve znění pozdějších předpisů;</w:t>
            </w:r>
          </w:p>
          <w:p w14:paraId="60A965BA" w14:textId="210DAFB7" w:rsidR="00227C76" w:rsidRPr="00142EFF" w:rsidRDefault="00227C76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zákon č. 542/2020 Sb., o výrobcích s ukončenou životností, ve znění pozdějších předpisů;</w:t>
            </w:r>
          </w:p>
          <w:p w14:paraId="3C887CA8" w14:textId="77777777" w:rsidR="0050441A" w:rsidRPr="005B67D8" w:rsidRDefault="0050441A" w:rsidP="00227C76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626CF">
              <w:rPr>
                <w:rFonts w:asciiTheme="minorHAnsi" w:hAnsiTheme="minorHAnsi" w:cstheme="minorHAnsi"/>
              </w:rPr>
              <w:t>vyhlášk</w:t>
            </w:r>
            <w:r w:rsidRPr="00335105">
              <w:rPr>
                <w:rFonts w:asciiTheme="minorHAnsi" w:hAnsiTheme="minorHAnsi" w:cstheme="minorHAnsi"/>
              </w:rPr>
              <w:t>a MŽP</w:t>
            </w:r>
            <w:r>
              <w:rPr>
                <w:rFonts w:asciiTheme="minorHAnsi" w:hAnsiTheme="minorHAnsi" w:cstheme="minorHAnsi"/>
              </w:rPr>
              <w:t xml:space="preserve"> a MZ</w:t>
            </w:r>
            <w:r w:rsidRPr="00335105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8</w:t>
            </w:r>
            <w:r w:rsidRPr="0033510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335105">
              <w:rPr>
                <w:rFonts w:asciiTheme="minorHAnsi" w:hAnsiTheme="minorHAnsi" w:cstheme="minorHAnsi"/>
              </w:rPr>
              <w:t>1 Sb.,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Pr="00335105">
              <w:rPr>
                <w:rFonts w:asciiTheme="minorHAnsi" w:hAnsiTheme="minorHAnsi" w:cstheme="minorHAnsi"/>
              </w:rPr>
              <w:t xml:space="preserve"> </w:t>
            </w:r>
            <w:r w:rsidRPr="00B82C17">
              <w:rPr>
                <w:rFonts w:asciiTheme="minorHAnsi" w:hAnsiTheme="minorHAnsi" w:cstheme="minorHAnsi"/>
              </w:rPr>
              <w:t>Katalogu odpadů a posuzování vlastností odpadů</w:t>
            </w:r>
            <w:r w:rsidRPr="00B82C17" w:rsidDel="00B82C17">
              <w:rPr>
                <w:rFonts w:asciiTheme="minorHAnsi" w:hAnsiTheme="minorHAnsi" w:cstheme="minorHAnsi"/>
              </w:rPr>
              <w:t xml:space="preserve"> </w:t>
            </w:r>
            <w:r w:rsidRPr="00335105">
              <w:rPr>
                <w:rFonts w:asciiTheme="minorHAnsi" w:hAnsiTheme="minorHAnsi" w:cstheme="minorHAnsi"/>
              </w:rPr>
              <w:t>(Katalog odpadů), ve znění pozdějších předpisů;</w:t>
            </w:r>
          </w:p>
          <w:p w14:paraId="5B230D06" w14:textId="77777777" w:rsidR="0050441A" w:rsidRPr="005B67D8" w:rsidRDefault="0050441A" w:rsidP="00227C76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82910">
              <w:rPr>
                <w:rFonts w:asciiTheme="minorHAnsi" w:hAnsiTheme="minorHAnsi" w:cstheme="minorHAnsi"/>
              </w:rPr>
              <w:t xml:space="preserve">vyhláška </w:t>
            </w:r>
            <w:r>
              <w:rPr>
                <w:rFonts w:asciiTheme="minorHAnsi" w:hAnsiTheme="minorHAnsi" w:cstheme="minorHAnsi"/>
              </w:rPr>
              <w:t>MŽP</w:t>
            </w:r>
            <w:r w:rsidRPr="00582910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273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582910">
              <w:rPr>
                <w:rFonts w:asciiTheme="minorHAnsi" w:hAnsiTheme="minorHAnsi" w:cstheme="minorHAnsi"/>
              </w:rPr>
              <w:t xml:space="preserve">1 Sb., o podrobnostech nakládání s odpady, </w:t>
            </w:r>
            <w:r>
              <w:rPr>
                <w:rFonts w:asciiTheme="minorHAnsi" w:hAnsiTheme="minorHAnsi" w:cstheme="minorHAnsi"/>
              </w:rPr>
              <w:t>ve znění pozdějších předpisů</w:t>
            </w:r>
            <w:r w:rsidRPr="00142EFF">
              <w:rPr>
                <w:rFonts w:asciiTheme="minorHAnsi" w:hAnsiTheme="minorHAnsi" w:cstheme="minorHAnsi"/>
              </w:rPr>
              <w:t>;</w:t>
            </w:r>
          </w:p>
          <w:p w14:paraId="209AD227" w14:textId="731631D9" w:rsidR="00E34BE5" w:rsidRPr="005109B3" w:rsidDel="00E34BE5" w:rsidRDefault="0050441A" w:rsidP="00227C76">
            <w:pPr>
              <w:keepLines/>
              <w:widowControl w:val="0"/>
              <w:numPr>
                <w:ilvl w:val="0"/>
                <w:numId w:val="23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ascii="Times New Roman" w:hAnsi="Times New Roman" w:cs="Times New Roman"/>
              </w:rPr>
            </w:pPr>
            <w:r w:rsidRPr="005B67D8">
              <w:rPr>
                <w:rFonts w:cstheme="minorHAnsi"/>
                <w:caps/>
              </w:rPr>
              <w:t xml:space="preserve">OZV </w:t>
            </w:r>
            <w:r w:rsidRPr="00AA6593">
              <w:rPr>
                <w:rFonts w:cstheme="minorHAnsi"/>
                <w:bCs/>
              </w:rPr>
              <w:t>č. 3/2021, o stanovení obecního systému odpadového hospodářství, v platném znění</w:t>
            </w:r>
            <w:r w:rsidRPr="00AA6593" w:rsidDel="00B82C17">
              <w:rPr>
                <w:rFonts w:cstheme="minorHAnsi"/>
                <w:bCs/>
              </w:rPr>
              <w:t xml:space="preserve"> </w:t>
            </w:r>
            <w:r w:rsidRPr="005B67D8">
              <w:rPr>
                <w:rFonts w:cstheme="minorHAnsi"/>
                <w:bCs/>
              </w:rPr>
              <w:t>(vyhláška o odpadech)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E34BE5" w:rsidRPr="00A86F05" w14:paraId="26C0AA49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4AD9F60A" w14:textId="77777777" w:rsidR="00E34BE5" w:rsidRPr="00F10CB0" w:rsidRDefault="00ED012D" w:rsidP="00224456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MÍSTO PLNĚNÍ</w:t>
            </w:r>
          </w:p>
        </w:tc>
      </w:tr>
      <w:tr w:rsidR="0091541B" w:rsidRPr="00A86F05" w14:paraId="7A77231E" w14:textId="77777777" w:rsidTr="00142EFF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518564" w14:textId="610647AD" w:rsidR="0091541B" w:rsidRPr="00F556C2" w:rsidRDefault="0091541B" w:rsidP="00944C81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56C2">
              <w:rPr>
                <w:rFonts w:asciiTheme="minorHAnsi" w:hAnsiTheme="minorHAnsi" w:cstheme="minorHAnsi"/>
                <w:sz w:val="22"/>
                <w:szCs w:val="22"/>
              </w:rPr>
              <w:t xml:space="preserve">Správní obvod </w:t>
            </w:r>
            <w:r w:rsidR="006F407C" w:rsidRPr="006F407C">
              <w:rPr>
                <w:rFonts w:asciiTheme="minorHAnsi" w:hAnsiTheme="minorHAnsi" w:cstheme="minorHAnsi"/>
                <w:sz w:val="22"/>
                <w:szCs w:val="22"/>
              </w:rPr>
              <w:t>Objednatele</w:t>
            </w:r>
            <w:r w:rsidRPr="00F556C2">
              <w:rPr>
                <w:rFonts w:asciiTheme="minorHAnsi" w:hAnsiTheme="minorHAnsi" w:cstheme="minorHAnsi"/>
                <w:sz w:val="22"/>
                <w:szCs w:val="22"/>
              </w:rPr>
              <w:t>, konkrétní místa plnění budou určena v příslušných Objednávkách</w:t>
            </w:r>
          </w:p>
        </w:tc>
      </w:tr>
    </w:tbl>
    <w:p w14:paraId="478B3547" w14:textId="77777777" w:rsidR="004F396A" w:rsidRPr="00A86F05" w:rsidRDefault="004F396A">
      <w:pPr>
        <w:rPr>
          <w:rFonts w:cstheme="minorHAnsi"/>
        </w:rPr>
      </w:pPr>
    </w:p>
    <w:sectPr w:rsidR="004F396A" w:rsidRPr="00A86F05" w:rsidSect="004F39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C52B5" w14:textId="77777777" w:rsidR="00A00A8C" w:rsidRDefault="00A00A8C" w:rsidP="00D567AC">
      <w:pPr>
        <w:spacing w:after="0" w:line="240" w:lineRule="auto"/>
      </w:pPr>
      <w:r>
        <w:separator/>
      </w:r>
    </w:p>
  </w:endnote>
  <w:endnote w:type="continuationSeparator" w:id="0">
    <w:p w14:paraId="797331C1" w14:textId="77777777" w:rsidR="00A00A8C" w:rsidRDefault="00A00A8C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98FB" w14:textId="77777777" w:rsidR="00D82F0B" w:rsidRDefault="00D82F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D2AAA" w14:textId="77777777" w:rsidR="00D82F0B" w:rsidRDefault="00D82F0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DA52" w14:textId="77777777" w:rsidR="00D82F0B" w:rsidRDefault="00D82F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71BAA" w14:textId="77777777" w:rsidR="00A00A8C" w:rsidRDefault="00A00A8C" w:rsidP="00D567AC">
      <w:pPr>
        <w:spacing w:after="0" w:line="240" w:lineRule="auto"/>
      </w:pPr>
      <w:r>
        <w:separator/>
      </w:r>
    </w:p>
  </w:footnote>
  <w:footnote w:type="continuationSeparator" w:id="0">
    <w:p w14:paraId="0F4144E1" w14:textId="77777777" w:rsidR="00A00A8C" w:rsidRDefault="00A00A8C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AC7D" w14:textId="77777777" w:rsidR="00D82F0B" w:rsidRDefault="00D82F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6AEF2" w14:textId="77777777" w:rsidR="00D82F0B" w:rsidRDefault="00D82F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44D6" w14:textId="77777777" w:rsidR="00D82F0B" w:rsidRDefault="00D82F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82.7pt;height:141.3pt" o:bullet="t">
        <v:imagedata r:id="rId1" o:title="odrazka"/>
      </v:shape>
    </w:pict>
  </w:numPicBullet>
  <w:abstractNum w:abstractNumId="0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3647"/>
    <w:multiLevelType w:val="hybridMultilevel"/>
    <w:tmpl w:val="F452AFBC"/>
    <w:lvl w:ilvl="0" w:tplc="4A0C44B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455D"/>
    <w:multiLevelType w:val="multilevel"/>
    <w:tmpl w:val="36248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A5B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6" w15:restartNumberingAfterBreak="0">
    <w:nsid w:val="4E8D2FB1"/>
    <w:multiLevelType w:val="multilevel"/>
    <w:tmpl w:val="B0460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451AF"/>
    <w:multiLevelType w:val="hybridMultilevel"/>
    <w:tmpl w:val="11EE18D2"/>
    <w:lvl w:ilvl="0" w:tplc="A524D2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 w15:restartNumberingAfterBreak="0">
    <w:nsid w:val="718C53D6"/>
    <w:multiLevelType w:val="multilevel"/>
    <w:tmpl w:val="36248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7843454">
    <w:abstractNumId w:val="20"/>
  </w:num>
  <w:num w:numId="2" w16cid:durableId="1630935517">
    <w:abstractNumId w:val="13"/>
  </w:num>
  <w:num w:numId="3" w16cid:durableId="759906332">
    <w:abstractNumId w:val="13"/>
  </w:num>
  <w:num w:numId="4" w16cid:durableId="522205815">
    <w:abstractNumId w:val="13"/>
  </w:num>
  <w:num w:numId="5" w16cid:durableId="895554573">
    <w:abstractNumId w:val="15"/>
  </w:num>
  <w:num w:numId="6" w16cid:durableId="54395291">
    <w:abstractNumId w:val="0"/>
  </w:num>
  <w:num w:numId="7" w16cid:durableId="1034237587">
    <w:abstractNumId w:val="18"/>
  </w:num>
  <w:num w:numId="8" w16cid:durableId="997540118">
    <w:abstractNumId w:val="9"/>
  </w:num>
  <w:num w:numId="9" w16cid:durableId="1689789779">
    <w:abstractNumId w:val="7"/>
  </w:num>
  <w:num w:numId="10" w16cid:durableId="1544056098">
    <w:abstractNumId w:val="14"/>
  </w:num>
  <w:num w:numId="11" w16cid:durableId="837312266">
    <w:abstractNumId w:val="6"/>
  </w:num>
  <w:num w:numId="12" w16cid:durableId="394276782">
    <w:abstractNumId w:val="17"/>
  </w:num>
  <w:num w:numId="13" w16cid:durableId="393163757">
    <w:abstractNumId w:val="1"/>
  </w:num>
  <w:num w:numId="14" w16cid:durableId="220672189">
    <w:abstractNumId w:val="3"/>
  </w:num>
  <w:num w:numId="15" w16cid:durableId="1386761059">
    <w:abstractNumId w:val="11"/>
  </w:num>
  <w:num w:numId="16" w16cid:durableId="1143079438">
    <w:abstractNumId w:val="4"/>
  </w:num>
  <w:num w:numId="17" w16cid:durableId="67852968">
    <w:abstractNumId w:val="2"/>
  </w:num>
  <w:num w:numId="18" w16cid:durableId="59521014">
    <w:abstractNumId w:val="8"/>
  </w:num>
  <w:num w:numId="19" w16cid:durableId="2123187631">
    <w:abstractNumId w:val="5"/>
  </w:num>
  <w:num w:numId="20" w16cid:durableId="234626255">
    <w:abstractNumId w:val="21"/>
  </w:num>
  <w:num w:numId="21" w16cid:durableId="786969001">
    <w:abstractNumId w:val="12"/>
  </w:num>
  <w:num w:numId="22" w16cid:durableId="2121609900">
    <w:abstractNumId w:val="16"/>
  </w:num>
  <w:num w:numId="23" w16cid:durableId="665209821">
    <w:abstractNumId w:val="10"/>
  </w:num>
  <w:num w:numId="24" w16cid:durableId="301741015">
    <w:abstractNumId w:val="19"/>
  </w:num>
  <w:num w:numId="25" w16cid:durableId="20128297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61EA"/>
    <w:rsid w:val="00025B1D"/>
    <w:rsid w:val="00034B79"/>
    <w:rsid w:val="00040082"/>
    <w:rsid w:val="00044631"/>
    <w:rsid w:val="000454C1"/>
    <w:rsid w:val="00045A97"/>
    <w:rsid w:val="000665BF"/>
    <w:rsid w:val="00080225"/>
    <w:rsid w:val="000A7360"/>
    <w:rsid w:val="000B57CF"/>
    <w:rsid w:val="000C09C3"/>
    <w:rsid w:val="000C2FA4"/>
    <w:rsid w:val="000C4F9B"/>
    <w:rsid w:val="000C52CE"/>
    <w:rsid w:val="000C5BC0"/>
    <w:rsid w:val="000F07B6"/>
    <w:rsid w:val="000F6244"/>
    <w:rsid w:val="00100E77"/>
    <w:rsid w:val="00105315"/>
    <w:rsid w:val="00124BA9"/>
    <w:rsid w:val="00124FCD"/>
    <w:rsid w:val="00126E1F"/>
    <w:rsid w:val="00142EFF"/>
    <w:rsid w:val="00153CA8"/>
    <w:rsid w:val="0016136E"/>
    <w:rsid w:val="00166C65"/>
    <w:rsid w:val="00171338"/>
    <w:rsid w:val="00181C43"/>
    <w:rsid w:val="00192693"/>
    <w:rsid w:val="00197101"/>
    <w:rsid w:val="0019724D"/>
    <w:rsid w:val="001977E8"/>
    <w:rsid w:val="001A194A"/>
    <w:rsid w:val="001A1A55"/>
    <w:rsid w:val="001A3FAE"/>
    <w:rsid w:val="001A6EC7"/>
    <w:rsid w:val="001B153E"/>
    <w:rsid w:val="001C55E0"/>
    <w:rsid w:val="001D28A9"/>
    <w:rsid w:val="001D4DD2"/>
    <w:rsid w:val="001F2EDE"/>
    <w:rsid w:val="001F3289"/>
    <w:rsid w:val="001F503C"/>
    <w:rsid w:val="002135AA"/>
    <w:rsid w:val="00216D51"/>
    <w:rsid w:val="00221006"/>
    <w:rsid w:val="00224456"/>
    <w:rsid w:val="00225A26"/>
    <w:rsid w:val="00226F0D"/>
    <w:rsid w:val="00227C76"/>
    <w:rsid w:val="002308BC"/>
    <w:rsid w:val="00237DB5"/>
    <w:rsid w:val="00253A7B"/>
    <w:rsid w:val="00261A99"/>
    <w:rsid w:val="00261EB2"/>
    <w:rsid w:val="00262940"/>
    <w:rsid w:val="00263204"/>
    <w:rsid w:val="0027787A"/>
    <w:rsid w:val="00281A93"/>
    <w:rsid w:val="002A5C20"/>
    <w:rsid w:val="002B11A5"/>
    <w:rsid w:val="002B4163"/>
    <w:rsid w:val="002C3F04"/>
    <w:rsid w:val="002D79E2"/>
    <w:rsid w:val="002E612C"/>
    <w:rsid w:val="002E78D4"/>
    <w:rsid w:val="002F1AE5"/>
    <w:rsid w:val="00302061"/>
    <w:rsid w:val="00307CDC"/>
    <w:rsid w:val="00320F9B"/>
    <w:rsid w:val="003212D8"/>
    <w:rsid w:val="00321388"/>
    <w:rsid w:val="003379B9"/>
    <w:rsid w:val="00341CCE"/>
    <w:rsid w:val="00345A93"/>
    <w:rsid w:val="003566EE"/>
    <w:rsid w:val="003802B9"/>
    <w:rsid w:val="00385FC9"/>
    <w:rsid w:val="0038716A"/>
    <w:rsid w:val="00395F25"/>
    <w:rsid w:val="003A43EB"/>
    <w:rsid w:val="0041685B"/>
    <w:rsid w:val="00422761"/>
    <w:rsid w:val="00441111"/>
    <w:rsid w:val="0044187D"/>
    <w:rsid w:val="00451B69"/>
    <w:rsid w:val="00480580"/>
    <w:rsid w:val="00483035"/>
    <w:rsid w:val="00490D09"/>
    <w:rsid w:val="004B70D7"/>
    <w:rsid w:val="004B7F7F"/>
    <w:rsid w:val="004C373C"/>
    <w:rsid w:val="004D0015"/>
    <w:rsid w:val="004D6BB8"/>
    <w:rsid w:val="004E5F7A"/>
    <w:rsid w:val="004F184F"/>
    <w:rsid w:val="004F396A"/>
    <w:rsid w:val="00502D5D"/>
    <w:rsid w:val="0050441A"/>
    <w:rsid w:val="005076A3"/>
    <w:rsid w:val="005109B3"/>
    <w:rsid w:val="00512E8A"/>
    <w:rsid w:val="005232BF"/>
    <w:rsid w:val="005255E2"/>
    <w:rsid w:val="00530459"/>
    <w:rsid w:val="00541F57"/>
    <w:rsid w:val="00550B57"/>
    <w:rsid w:val="005627ED"/>
    <w:rsid w:val="005710ED"/>
    <w:rsid w:val="005738EA"/>
    <w:rsid w:val="00575923"/>
    <w:rsid w:val="005772C0"/>
    <w:rsid w:val="00581D9F"/>
    <w:rsid w:val="00590021"/>
    <w:rsid w:val="005A3CE2"/>
    <w:rsid w:val="005A5EF2"/>
    <w:rsid w:val="005B0B71"/>
    <w:rsid w:val="005B6F39"/>
    <w:rsid w:val="005C033B"/>
    <w:rsid w:val="005C7E22"/>
    <w:rsid w:val="005E56FF"/>
    <w:rsid w:val="005F3639"/>
    <w:rsid w:val="005F5DFC"/>
    <w:rsid w:val="006366F9"/>
    <w:rsid w:val="00643703"/>
    <w:rsid w:val="00650383"/>
    <w:rsid w:val="00662403"/>
    <w:rsid w:val="00666359"/>
    <w:rsid w:val="00670996"/>
    <w:rsid w:val="00675C3B"/>
    <w:rsid w:val="00691D02"/>
    <w:rsid w:val="006A57D2"/>
    <w:rsid w:val="006A6FA5"/>
    <w:rsid w:val="006B33E4"/>
    <w:rsid w:val="006D7E9D"/>
    <w:rsid w:val="006E2821"/>
    <w:rsid w:val="006F3D97"/>
    <w:rsid w:val="006F407C"/>
    <w:rsid w:val="00701711"/>
    <w:rsid w:val="00704931"/>
    <w:rsid w:val="00706D8C"/>
    <w:rsid w:val="00717053"/>
    <w:rsid w:val="007201D6"/>
    <w:rsid w:val="007255DF"/>
    <w:rsid w:val="0073163C"/>
    <w:rsid w:val="00734E0A"/>
    <w:rsid w:val="00735228"/>
    <w:rsid w:val="0073780C"/>
    <w:rsid w:val="00737CF5"/>
    <w:rsid w:val="00741847"/>
    <w:rsid w:val="00744D86"/>
    <w:rsid w:val="0075373F"/>
    <w:rsid w:val="00763B61"/>
    <w:rsid w:val="00775815"/>
    <w:rsid w:val="00781F81"/>
    <w:rsid w:val="00791126"/>
    <w:rsid w:val="0079730D"/>
    <w:rsid w:val="007A7EF6"/>
    <w:rsid w:val="007B5DD4"/>
    <w:rsid w:val="007B63B1"/>
    <w:rsid w:val="007C25CE"/>
    <w:rsid w:val="007C308A"/>
    <w:rsid w:val="007C6860"/>
    <w:rsid w:val="007D1375"/>
    <w:rsid w:val="007D601C"/>
    <w:rsid w:val="007E21A8"/>
    <w:rsid w:val="007F4185"/>
    <w:rsid w:val="00802E99"/>
    <w:rsid w:val="0082747C"/>
    <w:rsid w:val="0083026F"/>
    <w:rsid w:val="008441E4"/>
    <w:rsid w:val="00850066"/>
    <w:rsid w:val="008525BB"/>
    <w:rsid w:val="008544B1"/>
    <w:rsid w:val="00875AA2"/>
    <w:rsid w:val="00877F00"/>
    <w:rsid w:val="00880B16"/>
    <w:rsid w:val="0088384E"/>
    <w:rsid w:val="00886897"/>
    <w:rsid w:val="0089285E"/>
    <w:rsid w:val="00896FB1"/>
    <w:rsid w:val="008A200A"/>
    <w:rsid w:val="008A7435"/>
    <w:rsid w:val="008C2B30"/>
    <w:rsid w:val="008C3BE4"/>
    <w:rsid w:val="008C713E"/>
    <w:rsid w:val="008D0FF0"/>
    <w:rsid w:val="008D19CF"/>
    <w:rsid w:val="008D21DF"/>
    <w:rsid w:val="008D4B48"/>
    <w:rsid w:val="008E5666"/>
    <w:rsid w:val="008F2089"/>
    <w:rsid w:val="0091541B"/>
    <w:rsid w:val="00915F12"/>
    <w:rsid w:val="009177FF"/>
    <w:rsid w:val="00937268"/>
    <w:rsid w:val="00944C81"/>
    <w:rsid w:val="00946C68"/>
    <w:rsid w:val="00952191"/>
    <w:rsid w:val="00955F60"/>
    <w:rsid w:val="0096090F"/>
    <w:rsid w:val="0096628D"/>
    <w:rsid w:val="009666CC"/>
    <w:rsid w:val="0098139C"/>
    <w:rsid w:val="009846C2"/>
    <w:rsid w:val="009911DB"/>
    <w:rsid w:val="00992DCD"/>
    <w:rsid w:val="009A1CFF"/>
    <w:rsid w:val="009B3485"/>
    <w:rsid w:val="009B3CD6"/>
    <w:rsid w:val="009B5997"/>
    <w:rsid w:val="009E28E1"/>
    <w:rsid w:val="009E3168"/>
    <w:rsid w:val="009E341C"/>
    <w:rsid w:val="009F492D"/>
    <w:rsid w:val="00A00A8C"/>
    <w:rsid w:val="00A04DA8"/>
    <w:rsid w:val="00A0669E"/>
    <w:rsid w:val="00A51345"/>
    <w:rsid w:val="00A61E6A"/>
    <w:rsid w:val="00A65638"/>
    <w:rsid w:val="00A77F24"/>
    <w:rsid w:val="00A86F05"/>
    <w:rsid w:val="00A966BB"/>
    <w:rsid w:val="00AA30EF"/>
    <w:rsid w:val="00AB2D59"/>
    <w:rsid w:val="00AD1869"/>
    <w:rsid w:val="00AE10A4"/>
    <w:rsid w:val="00AE28A4"/>
    <w:rsid w:val="00AE37A0"/>
    <w:rsid w:val="00AE5D96"/>
    <w:rsid w:val="00B02FE3"/>
    <w:rsid w:val="00B072B8"/>
    <w:rsid w:val="00B20E4E"/>
    <w:rsid w:val="00B246E2"/>
    <w:rsid w:val="00B255C1"/>
    <w:rsid w:val="00B262DE"/>
    <w:rsid w:val="00B33BEE"/>
    <w:rsid w:val="00B3674C"/>
    <w:rsid w:val="00B4775D"/>
    <w:rsid w:val="00B526C7"/>
    <w:rsid w:val="00B5424E"/>
    <w:rsid w:val="00B5436C"/>
    <w:rsid w:val="00B5518D"/>
    <w:rsid w:val="00B8403E"/>
    <w:rsid w:val="00B95764"/>
    <w:rsid w:val="00BA1DC4"/>
    <w:rsid w:val="00BA418D"/>
    <w:rsid w:val="00BD0CBB"/>
    <w:rsid w:val="00BD0E01"/>
    <w:rsid w:val="00BE33CA"/>
    <w:rsid w:val="00BF4CBE"/>
    <w:rsid w:val="00BF7EF4"/>
    <w:rsid w:val="00C24EDE"/>
    <w:rsid w:val="00C36093"/>
    <w:rsid w:val="00C44D79"/>
    <w:rsid w:val="00C52CFC"/>
    <w:rsid w:val="00C64F22"/>
    <w:rsid w:val="00C67FFA"/>
    <w:rsid w:val="00C763F6"/>
    <w:rsid w:val="00C818CA"/>
    <w:rsid w:val="00C82CCD"/>
    <w:rsid w:val="00C84A01"/>
    <w:rsid w:val="00C9090C"/>
    <w:rsid w:val="00C91C34"/>
    <w:rsid w:val="00C92700"/>
    <w:rsid w:val="00CC0893"/>
    <w:rsid w:val="00CE0623"/>
    <w:rsid w:val="00CF461D"/>
    <w:rsid w:val="00D2358B"/>
    <w:rsid w:val="00D406F9"/>
    <w:rsid w:val="00D51B99"/>
    <w:rsid w:val="00D567AC"/>
    <w:rsid w:val="00D57239"/>
    <w:rsid w:val="00D609EA"/>
    <w:rsid w:val="00D665B5"/>
    <w:rsid w:val="00D82F0B"/>
    <w:rsid w:val="00D9014E"/>
    <w:rsid w:val="00DA16E1"/>
    <w:rsid w:val="00DB1BBB"/>
    <w:rsid w:val="00DB2A77"/>
    <w:rsid w:val="00DB6CED"/>
    <w:rsid w:val="00DC6BCB"/>
    <w:rsid w:val="00DD173C"/>
    <w:rsid w:val="00DD2D52"/>
    <w:rsid w:val="00DD436B"/>
    <w:rsid w:val="00DD47AD"/>
    <w:rsid w:val="00DF1C7B"/>
    <w:rsid w:val="00E019A5"/>
    <w:rsid w:val="00E01C74"/>
    <w:rsid w:val="00E02AC8"/>
    <w:rsid w:val="00E04A5F"/>
    <w:rsid w:val="00E04A97"/>
    <w:rsid w:val="00E10E56"/>
    <w:rsid w:val="00E17B70"/>
    <w:rsid w:val="00E27F98"/>
    <w:rsid w:val="00E34BE5"/>
    <w:rsid w:val="00E40BCC"/>
    <w:rsid w:val="00E534E0"/>
    <w:rsid w:val="00E5524E"/>
    <w:rsid w:val="00E55B53"/>
    <w:rsid w:val="00E653B2"/>
    <w:rsid w:val="00E75F65"/>
    <w:rsid w:val="00E82F78"/>
    <w:rsid w:val="00E92BD5"/>
    <w:rsid w:val="00E92D81"/>
    <w:rsid w:val="00E97FC4"/>
    <w:rsid w:val="00EA67DE"/>
    <w:rsid w:val="00ED012D"/>
    <w:rsid w:val="00EE4DA9"/>
    <w:rsid w:val="00F02A93"/>
    <w:rsid w:val="00F075D7"/>
    <w:rsid w:val="00F10CB0"/>
    <w:rsid w:val="00F11F13"/>
    <w:rsid w:val="00F121AF"/>
    <w:rsid w:val="00F20013"/>
    <w:rsid w:val="00F204E5"/>
    <w:rsid w:val="00F21EE5"/>
    <w:rsid w:val="00F556C2"/>
    <w:rsid w:val="00F56F69"/>
    <w:rsid w:val="00F83CBE"/>
    <w:rsid w:val="00F850F4"/>
    <w:rsid w:val="00F85ECC"/>
    <w:rsid w:val="00F9010F"/>
    <w:rsid w:val="00F93D6D"/>
    <w:rsid w:val="00F963F5"/>
    <w:rsid w:val="00F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99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10CB0"/>
    <w:pPr>
      <w:spacing w:after="100"/>
      <w:ind w:left="220"/>
    </w:pPr>
  </w:style>
  <w:style w:type="paragraph" w:styleId="Revize">
    <w:name w:val="Revision"/>
    <w:hidden/>
    <w:uiPriority w:val="99"/>
    <w:semiHidden/>
    <w:rsid w:val="007B5D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 xsi:nil="true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 xsi:nil="true"/>
    <Date_x0020_of_x0020_Delivery xmlns="8662c659-72ab-411b-b755-fbef5cbbde18" xsi:nil="true"/>
    <Related_x0020_Documents xmlns="5e6c6c5c-474c-4ef7-b7d6-59a0e77cc256" xsi:nil="true"/>
    <English_x0020_Title xmlns="5e6c6c5c-474c-4ef7-b7d6-59a0e77cc256" xsi:nil="true"/>
    <Document_x0020_State xmlns="5e6c6c5c-474c-4ef7-b7d6-59a0e77cc256" xsi:nil="true"/>
    <Category1 xmlns="5e6c6c5c-474c-4ef7-b7d6-59a0e77cc25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3D787D-B287-48AD-A4F0-7540563A9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E2A206-37E8-46F8-ABFE-2335870C0060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F90A6EF9-A29E-4528-BCC8-2AA54F53BA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1873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2023-01-17T12:42:00Z</dcterms:created>
  <dcterms:modified xsi:type="dcterms:W3CDTF">2023-03-09T19:21:00Z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