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3"/>
        <w:gridCol w:w="1533"/>
        <w:gridCol w:w="2956"/>
      </w:tblGrid>
      <w:tr w:rsidR="003300FD" w:rsidRPr="00A86F05" w14:paraId="73E3711B" w14:textId="77777777" w:rsidTr="00172C9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61BB922B" w14:textId="77777777" w:rsidR="003300FD" w:rsidRDefault="003300FD" w:rsidP="00A128E3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KL 2</w:t>
            </w:r>
          </w:p>
        </w:tc>
      </w:tr>
      <w:tr w:rsidR="003300FD" w:rsidRPr="00A86F05" w14:paraId="6DA691AB" w14:textId="77777777" w:rsidTr="00823FBA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777711D1" w14:textId="77777777" w:rsidR="003300FD" w:rsidRPr="00A86F05" w:rsidRDefault="003300FD" w:rsidP="00A128E3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F36641" w14:textId="77777777" w:rsidR="003300FD" w:rsidRPr="00A86F05" w:rsidRDefault="003300FD" w:rsidP="00A128E3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Výkony zimní údržby</w:t>
            </w:r>
            <w:r w:rsidR="004B762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vozovek</w:t>
            </w:r>
          </w:p>
        </w:tc>
      </w:tr>
      <w:tr w:rsidR="003300FD" w:rsidRPr="00A86F05" w14:paraId="72C1E5F7" w14:textId="77777777" w:rsidTr="00172C9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2A2F46F5" w14:textId="77777777" w:rsidR="003300FD" w:rsidRPr="00A86F05" w:rsidRDefault="003300FD" w:rsidP="00A128E3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Ref415754211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 SLUŽBY</w:t>
            </w:r>
            <w:bookmarkEnd w:id="0"/>
          </w:p>
        </w:tc>
      </w:tr>
      <w:tr w:rsidR="003300FD" w:rsidRPr="00A86F05" w14:paraId="761E22F1" w14:textId="77777777" w:rsidTr="00CD7A0A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A02114" w14:textId="77777777" w:rsidR="003300FD" w:rsidRPr="006D11F3" w:rsidRDefault="003300FD" w:rsidP="00A128E3">
            <w:pPr>
              <w:jc w:val="both"/>
              <w:rPr>
                <w:rFonts w:cstheme="minorHAnsi"/>
              </w:rPr>
            </w:pPr>
            <w:r w:rsidRPr="006D11F3">
              <w:rPr>
                <w:rFonts w:cstheme="minorHAnsi"/>
              </w:rPr>
              <w:t>Služby poskytované dle tohoto Katalogového listu zahrnují jednotlivé dílčí výkony zimní údržby objednávané v zimním období (jak je definováno v Katalogovém listu 1 - Zimní připravenost) dle aktuálních potřeb Objednatele, resp. dle objektivního stavu vyvolaného klimatickými jevy spojenými se zimním počasím, majícími vliv na sjízdnost. Jednotlivé výkony zimní údržby vozovek zahrnují:</w:t>
            </w:r>
          </w:p>
          <w:p w14:paraId="0121C8EC" w14:textId="77777777" w:rsidR="003300FD" w:rsidRPr="006D11F3" w:rsidRDefault="003300FD" w:rsidP="00A128E3">
            <w:pPr>
              <w:pStyle w:val="Odstavecseseznamem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6D11F3">
              <w:rPr>
                <w:rFonts w:asciiTheme="minorHAnsi" w:hAnsiTheme="minorHAnsi" w:cstheme="minorHAnsi"/>
              </w:rPr>
              <w:t>Preventivní posyp – jedná se o projetí dané lokality sypačem bez plužení s preventivním posypem. Gramáž u této činnosti pro vozovky je 10g/m</w:t>
            </w:r>
            <w:r w:rsidRPr="006D11F3">
              <w:rPr>
                <w:rFonts w:asciiTheme="minorHAnsi" w:hAnsiTheme="minorHAnsi" w:cstheme="minorHAnsi"/>
                <w:vertAlign w:val="superscript"/>
              </w:rPr>
              <w:t>2</w:t>
            </w:r>
            <w:r w:rsidRPr="006D11F3">
              <w:rPr>
                <w:rFonts w:asciiTheme="minorHAnsi" w:hAnsiTheme="minorHAnsi" w:cstheme="minorHAnsi"/>
              </w:rPr>
              <w:t>, tedy při šíři posypu 3 m je gramáž 30 g/</w:t>
            </w:r>
            <w:proofErr w:type="spellStart"/>
            <w:r w:rsidRPr="006D11F3">
              <w:rPr>
                <w:rFonts w:asciiTheme="minorHAnsi" w:hAnsiTheme="minorHAnsi" w:cstheme="minorHAnsi"/>
              </w:rPr>
              <w:t>bm</w:t>
            </w:r>
            <w:proofErr w:type="spellEnd"/>
            <w:r w:rsidRPr="006D11F3">
              <w:rPr>
                <w:rFonts w:asciiTheme="minorHAnsi" w:hAnsiTheme="minorHAnsi" w:cstheme="minorHAnsi"/>
              </w:rPr>
              <w:t xml:space="preserve"> vozovky</w:t>
            </w:r>
            <w:r w:rsidRPr="00D7274C">
              <w:rPr>
                <w:rFonts w:asciiTheme="minorHAnsi" w:hAnsiTheme="minorHAnsi" w:cstheme="minorHAnsi"/>
              </w:rPr>
              <w:t>;</w:t>
            </w:r>
          </w:p>
          <w:p w14:paraId="0825B23F" w14:textId="3D1D1C34" w:rsidR="003300FD" w:rsidRPr="006D11F3" w:rsidRDefault="003300FD" w:rsidP="00A128E3">
            <w:pPr>
              <w:pStyle w:val="Odstavecseseznamem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6D11F3">
              <w:rPr>
                <w:rFonts w:asciiTheme="minorHAnsi" w:hAnsiTheme="minorHAnsi" w:cstheme="minorHAnsi"/>
              </w:rPr>
              <w:t xml:space="preserve">Likvidační zásah s chemickým posypem – projetí dané lokality sypačem v režimu plužení, včetně posypu posypovou solí (v případě potřeby se skrápěním). Gramáž u této činnosti pro vozovky je </w:t>
            </w:r>
            <w:r w:rsidR="00522A82">
              <w:rPr>
                <w:rFonts w:asciiTheme="minorHAnsi" w:hAnsiTheme="minorHAnsi" w:cstheme="minorHAnsi"/>
              </w:rPr>
              <w:t>20</w:t>
            </w:r>
            <w:r w:rsidR="00522A82" w:rsidRPr="006D11F3">
              <w:rPr>
                <w:rFonts w:asciiTheme="minorHAnsi" w:hAnsiTheme="minorHAnsi" w:cstheme="minorHAnsi"/>
              </w:rPr>
              <w:t>g</w:t>
            </w:r>
            <w:r w:rsidRPr="006D11F3">
              <w:rPr>
                <w:rFonts w:asciiTheme="minorHAnsi" w:hAnsiTheme="minorHAnsi" w:cstheme="minorHAnsi"/>
              </w:rPr>
              <w:t>/m</w:t>
            </w:r>
            <w:r w:rsidRPr="006D11F3">
              <w:rPr>
                <w:rFonts w:asciiTheme="minorHAnsi" w:hAnsiTheme="minorHAnsi" w:cstheme="minorHAnsi"/>
                <w:vertAlign w:val="superscript"/>
              </w:rPr>
              <w:t>2</w:t>
            </w:r>
            <w:r w:rsidRPr="006D11F3">
              <w:rPr>
                <w:rFonts w:asciiTheme="minorHAnsi" w:hAnsiTheme="minorHAnsi" w:cstheme="minorHAnsi"/>
              </w:rPr>
              <w:t xml:space="preserve">, tedy při šíři posypu 3 m je gramáž </w:t>
            </w:r>
            <w:r w:rsidR="00522A82">
              <w:rPr>
                <w:rFonts w:asciiTheme="minorHAnsi" w:hAnsiTheme="minorHAnsi" w:cstheme="minorHAnsi"/>
              </w:rPr>
              <w:t>60</w:t>
            </w:r>
            <w:r w:rsidR="00522A82" w:rsidRPr="006D11F3">
              <w:rPr>
                <w:rFonts w:asciiTheme="minorHAnsi" w:hAnsiTheme="minorHAnsi" w:cstheme="minorHAnsi"/>
              </w:rPr>
              <w:t xml:space="preserve"> </w:t>
            </w:r>
            <w:r w:rsidRPr="006D11F3">
              <w:rPr>
                <w:rFonts w:asciiTheme="minorHAnsi" w:hAnsiTheme="minorHAnsi" w:cstheme="minorHAnsi"/>
              </w:rPr>
              <w:t>g/</w:t>
            </w:r>
            <w:proofErr w:type="spellStart"/>
            <w:r w:rsidRPr="006D11F3">
              <w:rPr>
                <w:rFonts w:asciiTheme="minorHAnsi" w:hAnsiTheme="minorHAnsi" w:cstheme="minorHAnsi"/>
              </w:rPr>
              <w:t>bm</w:t>
            </w:r>
            <w:proofErr w:type="spellEnd"/>
            <w:r w:rsidRPr="00D7274C">
              <w:rPr>
                <w:rFonts w:asciiTheme="minorHAnsi" w:hAnsiTheme="minorHAnsi" w:cstheme="minorHAnsi"/>
              </w:rPr>
              <w:t>;</w:t>
            </w:r>
            <w:r w:rsidR="00C6392D">
              <w:rPr>
                <w:rFonts w:asciiTheme="minorHAnsi" w:hAnsiTheme="minorHAnsi" w:cstheme="minorHAnsi"/>
              </w:rPr>
              <w:t xml:space="preserve"> - v případě prudkých stoupání, či nebezpečných úseků nutno navýšit.</w:t>
            </w:r>
          </w:p>
          <w:p w14:paraId="2933CA52" w14:textId="77777777" w:rsidR="003300FD" w:rsidRPr="006D11F3" w:rsidRDefault="003300FD" w:rsidP="00A128E3">
            <w:pPr>
              <w:pStyle w:val="Odstavecseseznamem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6D11F3">
              <w:rPr>
                <w:rFonts w:asciiTheme="minorHAnsi" w:hAnsiTheme="minorHAnsi" w:cstheme="minorHAnsi"/>
              </w:rPr>
              <w:t>Likvidační zásah s  posypem</w:t>
            </w:r>
            <w:r w:rsidR="007A1D51">
              <w:rPr>
                <w:rFonts w:asciiTheme="minorHAnsi" w:hAnsiTheme="minorHAnsi" w:cstheme="minorHAnsi"/>
              </w:rPr>
              <w:t xml:space="preserve"> inertním materiálem</w:t>
            </w:r>
            <w:r w:rsidRPr="006D11F3">
              <w:rPr>
                <w:rFonts w:asciiTheme="minorHAnsi" w:hAnsiTheme="minorHAnsi" w:cstheme="minorHAnsi"/>
              </w:rPr>
              <w:t xml:space="preserve"> – projetí dané lokality sypačem v režimu plužení, včetně posypu inertním materiálem </w:t>
            </w:r>
            <w:r w:rsidR="00D26692" w:rsidRPr="006D11F3">
              <w:rPr>
                <w:rFonts w:asciiTheme="minorHAnsi" w:hAnsiTheme="minorHAnsi" w:cstheme="minorHAnsi"/>
              </w:rPr>
              <w:t xml:space="preserve">– </w:t>
            </w:r>
            <w:r w:rsidRPr="006D11F3">
              <w:rPr>
                <w:rFonts w:asciiTheme="minorHAnsi" w:hAnsiTheme="minorHAnsi" w:cstheme="minorHAnsi"/>
              </w:rPr>
              <w:t>čistá strojní drť frakce 4/8.</w:t>
            </w:r>
          </w:p>
          <w:p w14:paraId="42E569F1" w14:textId="77777777" w:rsidR="003300FD" w:rsidRPr="006D11F3" w:rsidRDefault="003300FD" w:rsidP="00522A82">
            <w:pPr>
              <w:pStyle w:val="Odstavecseseznamem"/>
              <w:numPr>
                <w:ilvl w:val="0"/>
                <w:numId w:val="19"/>
              </w:numPr>
              <w:rPr>
                <w:rFonts w:cstheme="minorHAnsi"/>
              </w:rPr>
            </w:pPr>
            <w:r w:rsidRPr="006D11F3">
              <w:rPr>
                <w:rFonts w:asciiTheme="minorHAnsi" w:hAnsiTheme="minorHAnsi" w:cstheme="minorHAnsi"/>
              </w:rPr>
              <w:t>Pluhování – jedná se o projetí daného úseku vozovek sypačem nebo jiným mechanismem, kde je provedeno pouze pluhování sněhové vrstvy.</w:t>
            </w:r>
          </w:p>
        </w:tc>
      </w:tr>
      <w:tr w:rsidR="003300FD" w:rsidRPr="00A86F05" w14:paraId="221D4CC3" w14:textId="77777777" w:rsidTr="00172C9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7D2F7EB8" w14:textId="77777777" w:rsidR="003300FD" w:rsidRPr="00A86F05" w:rsidRDefault="003300FD" w:rsidP="00A128E3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1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1"/>
          </w:p>
        </w:tc>
      </w:tr>
      <w:tr w:rsidR="003300FD" w:rsidRPr="00A86F05" w14:paraId="50785D19" w14:textId="77777777" w:rsidTr="00172C9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59168850" w14:textId="77777777" w:rsidR="003300FD" w:rsidRPr="00A86F05" w:rsidRDefault="003300FD" w:rsidP="00A128E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Výkon zimní údržby</w:t>
            </w:r>
            <w:r w:rsidR="00240EC1">
              <w:rPr>
                <w:rFonts w:cstheme="minorHAnsi"/>
                <w:b/>
              </w:rPr>
              <w:t xml:space="preserve"> vozovek</w:t>
            </w:r>
          </w:p>
        </w:tc>
      </w:tr>
      <w:tr w:rsidR="004B7623" w:rsidRPr="00A86F05" w14:paraId="1B61A3FF" w14:textId="77777777" w:rsidTr="00823FBA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34986179" w14:textId="77777777" w:rsidR="004B7623" w:rsidRPr="00A86F05" w:rsidRDefault="004B7623" w:rsidP="00A128E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Služba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54E02D2E" w14:textId="77777777" w:rsidR="004B7623" w:rsidRPr="00A86F05" w:rsidRDefault="004B7623" w:rsidP="00A128E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ABF8F" w:themeFill="accent6" w:themeFillTint="99"/>
          </w:tcPr>
          <w:p w14:paraId="37322FD4" w14:textId="77777777" w:rsidR="004B7623" w:rsidRPr="00A86F05" w:rsidRDefault="004B7623" w:rsidP="00A128E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520152">
              <w:rPr>
                <w:rFonts w:cstheme="minorHAnsi"/>
                <w:b/>
              </w:rPr>
              <w:t>Jednotková cena v Kč bez DPH</w:t>
            </w:r>
          </w:p>
        </w:tc>
      </w:tr>
      <w:tr w:rsidR="004B7623" w:rsidRPr="00A86F05" w14:paraId="3049FC3A" w14:textId="77777777" w:rsidTr="00CD7A0A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DD2829" w14:textId="77777777" w:rsidR="004B7623" w:rsidRPr="006E5CCC" w:rsidRDefault="004B7623" w:rsidP="00CD7A0A">
            <w:pPr>
              <w:keepLines/>
              <w:widowControl w:val="0"/>
              <w:spacing w:before="240" w:after="0" w:line="288" w:lineRule="auto"/>
              <w:jc w:val="center"/>
              <w:rPr>
                <w:rFonts w:cstheme="minorHAnsi"/>
                <w:b/>
              </w:rPr>
            </w:pPr>
            <w:r w:rsidRPr="006E5CCC">
              <w:rPr>
                <w:rFonts w:cstheme="minorHAnsi"/>
                <w:b/>
              </w:rPr>
              <w:t xml:space="preserve">Preventivní posyp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5A5B0D" w14:textId="77777777" w:rsidR="004B7623" w:rsidRPr="00CD7A0A" w:rsidRDefault="004B7623" w:rsidP="00CD7A0A">
            <w:pPr>
              <w:keepLines/>
              <w:widowControl w:val="0"/>
              <w:spacing w:before="240" w:after="0" w:line="288" w:lineRule="auto"/>
              <w:jc w:val="center"/>
              <w:rPr>
                <w:rFonts w:cstheme="minorHAnsi"/>
              </w:rPr>
            </w:pPr>
            <w:proofErr w:type="spellStart"/>
            <w:r w:rsidRPr="00CD7A0A">
              <w:rPr>
                <w:rFonts w:cstheme="minorHAnsi"/>
              </w:rPr>
              <w:t>bm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63D75E" w14:textId="76B013EC" w:rsidR="00CD7A0A" w:rsidRPr="00CD7A0A" w:rsidRDefault="00CD7A0A" w:rsidP="00CD7A0A">
            <w:pPr>
              <w:keepLines/>
              <w:widowControl w:val="0"/>
              <w:spacing w:before="240" w:after="0" w:line="288" w:lineRule="auto"/>
              <w:jc w:val="center"/>
              <w:rPr>
                <w:rFonts w:cstheme="minorHAnsi"/>
              </w:rPr>
            </w:pPr>
          </w:p>
        </w:tc>
      </w:tr>
      <w:tr w:rsidR="004B7623" w:rsidRPr="00A86F05" w14:paraId="63717881" w14:textId="77777777" w:rsidTr="00CD7A0A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E1710" w14:textId="77777777" w:rsidR="00FF2F7E" w:rsidRPr="00FF2F7E" w:rsidRDefault="00FF2F7E" w:rsidP="00FF2F7E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b/>
                <w:sz w:val="4"/>
                <w:szCs w:val="4"/>
              </w:rPr>
            </w:pPr>
          </w:p>
          <w:p w14:paraId="31A77A0F" w14:textId="77777777" w:rsidR="004B7623" w:rsidRPr="006E5CCC" w:rsidRDefault="004B7623" w:rsidP="00FF2F7E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b/>
              </w:rPr>
            </w:pPr>
            <w:r w:rsidRPr="006E5CCC">
              <w:rPr>
                <w:rFonts w:cstheme="minorHAnsi"/>
                <w:b/>
              </w:rPr>
              <w:t xml:space="preserve">Likvidační zásah s chemickým posypem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0102629A" w14:textId="77777777" w:rsidR="00FF2F7E" w:rsidRPr="00FF2F7E" w:rsidRDefault="00FF2F7E" w:rsidP="00FF2F7E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sz w:val="4"/>
                <w:szCs w:val="4"/>
              </w:rPr>
            </w:pPr>
          </w:p>
          <w:p w14:paraId="538D568E" w14:textId="77777777" w:rsidR="00FF2F7E" w:rsidRPr="00FF2F7E" w:rsidRDefault="00FF2F7E" w:rsidP="00FF2F7E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sz w:val="4"/>
                <w:szCs w:val="4"/>
              </w:rPr>
            </w:pPr>
          </w:p>
          <w:p w14:paraId="703E70A8" w14:textId="77777777" w:rsidR="004B7623" w:rsidRPr="00CD7A0A" w:rsidRDefault="004B7623" w:rsidP="00FF2F7E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</w:rPr>
            </w:pPr>
            <w:proofErr w:type="spellStart"/>
            <w:r w:rsidRPr="00CD7A0A">
              <w:rPr>
                <w:rFonts w:cstheme="minorHAnsi"/>
              </w:rPr>
              <w:t>bm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8EE198" w14:textId="5BF94AB4" w:rsidR="004B7623" w:rsidRPr="00CD7A0A" w:rsidRDefault="004B7623" w:rsidP="00FF2F7E">
            <w:pPr>
              <w:spacing w:after="0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4B7623" w:rsidRPr="00A86F05" w14:paraId="6D60F77D" w14:textId="77777777" w:rsidTr="00CD7A0A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28E979" w14:textId="77777777" w:rsidR="00CD7A0A" w:rsidRPr="00CD7A0A" w:rsidRDefault="00CD7A0A" w:rsidP="00CD7A0A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b/>
                <w:sz w:val="6"/>
                <w:szCs w:val="6"/>
              </w:rPr>
            </w:pPr>
          </w:p>
          <w:p w14:paraId="23917D0F" w14:textId="77777777" w:rsidR="00CD7A0A" w:rsidRPr="00CD7A0A" w:rsidRDefault="00CD7A0A" w:rsidP="00CD7A0A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b/>
                <w:sz w:val="4"/>
                <w:szCs w:val="4"/>
              </w:rPr>
            </w:pPr>
          </w:p>
          <w:p w14:paraId="1F776179" w14:textId="77777777" w:rsidR="004B7623" w:rsidRPr="006E5CCC" w:rsidRDefault="004B7623" w:rsidP="00CD7A0A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b/>
              </w:rPr>
            </w:pPr>
            <w:r w:rsidRPr="006E5CCC">
              <w:rPr>
                <w:rFonts w:cstheme="minorHAnsi"/>
                <w:b/>
              </w:rPr>
              <w:t>Likvidační zásah s posypem inertním materiálem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41E31B33" w14:textId="77777777" w:rsidR="00CD7A0A" w:rsidRPr="00CD7A0A" w:rsidRDefault="00CD7A0A" w:rsidP="00CD7A0A">
            <w:pPr>
              <w:spacing w:after="0"/>
              <w:jc w:val="center"/>
              <w:rPr>
                <w:rFonts w:eastAsia="Times New Roman" w:cstheme="minorHAnsi"/>
                <w:color w:val="000000"/>
                <w:sz w:val="6"/>
                <w:szCs w:val="6"/>
              </w:rPr>
            </w:pPr>
          </w:p>
          <w:p w14:paraId="40974EDD" w14:textId="77777777" w:rsidR="004B7623" w:rsidRDefault="004B7623" w:rsidP="00A128E3">
            <w:pPr>
              <w:spacing w:after="0"/>
              <w:jc w:val="center"/>
            </w:pPr>
            <w:proofErr w:type="spellStart"/>
            <w:r w:rsidRPr="00B54025">
              <w:rPr>
                <w:rFonts w:eastAsia="Times New Roman" w:cstheme="minorHAnsi"/>
                <w:color w:val="000000"/>
              </w:rPr>
              <w:t>bm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B95E3D" w14:textId="05B3D2E8" w:rsidR="004B7623" w:rsidRPr="00A86F05" w:rsidRDefault="004B7623" w:rsidP="00A128E3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4B7623" w:rsidRPr="00A86F05" w14:paraId="293D8591" w14:textId="77777777" w:rsidTr="00CD7A0A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03727E" w14:textId="77777777" w:rsidR="00CD7A0A" w:rsidRPr="00CD7A0A" w:rsidRDefault="00CD7A0A" w:rsidP="00A128E3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b/>
                <w:sz w:val="4"/>
                <w:szCs w:val="4"/>
              </w:rPr>
            </w:pPr>
          </w:p>
          <w:p w14:paraId="6B4C1DD1" w14:textId="77777777" w:rsidR="004B7623" w:rsidRPr="006E5CCC" w:rsidRDefault="004B7623" w:rsidP="00A128E3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b/>
              </w:rPr>
            </w:pPr>
            <w:r w:rsidRPr="006E5CCC">
              <w:rPr>
                <w:rFonts w:cstheme="minorHAnsi"/>
                <w:b/>
              </w:rPr>
              <w:t>Pluhování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6220D728" w14:textId="77777777" w:rsidR="00CD7A0A" w:rsidRPr="00CD7A0A" w:rsidRDefault="00CD7A0A" w:rsidP="00A128E3">
            <w:pPr>
              <w:spacing w:after="0"/>
              <w:jc w:val="center"/>
              <w:rPr>
                <w:rFonts w:eastAsia="Times New Roman" w:cstheme="minorHAnsi"/>
                <w:color w:val="000000"/>
                <w:sz w:val="6"/>
                <w:szCs w:val="6"/>
              </w:rPr>
            </w:pPr>
          </w:p>
          <w:p w14:paraId="20EAF9AB" w14:textId="77777777" w:rsidR="004B7623" w:rsidRDefault="004B7623" w:rsidP="00A128E3">
            <w:pPr>
              <w:spacing w:after="0"/>
              <w:jc w:val="center"/>
            </w:pPr>
            <w:proofErr w:type="spellStart"/>
            <w:r w:rsidRPr="00B54025">
              <w:rPr>
                <w:rFonts w:eastAsia="Times New Roman" w:cstheme="minorHAnsi"/>
                <w:color w:val="000000"/>
              </w:rPr>
              <w:t>bm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F68448" w14:textId="5EAEB6E4" w:rsidR="004B7623" w:rsidRPr="00CD7A0A" w:rsidRDefault="004B7623" w:rsidP="00A128E3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3300FD" w:rsidRPr="00A86F05" w14:paraId="1AFF65FD" w14:textId="77777777" w:rsidTr="00172C9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3839C320" w14:textId="77777777" w:rsidR="003300FD" w:rsidRPr="00A86F05" w:rsidRDefault="003300FD" w:rsidP="00A128E3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2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2"/>
          </w:p>
        </w:tc>
      </w:tr>
      <w:tr w:rsidR="003300FD" w:rsidRPr="00A86F05" w14:paraId="1C960A1C" w14:textId="77777777" w:rsidTr="00CD7A0A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6228" w:themeFill="accent3" w:themeFillShade="80"/>
            <w:vAlign w:val="center"/>
          </w:tcPr>
          <w:p w14:paraId="52F859B3" w14:textId="77777777" w:rsidR="003300FD" w:rsidRPr="00A86F05" w:rsidRDefault="003300FD" w:rsidP="00A128E3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</w:rPr>
            </w:pPr>
          </w:p>
        </w:tc>
      </w:tr>
      <w:tr w:rsidR="003300FD" w:rsidRPr="00A86F05" w14:paraId="202FA932" w14:textId="77777777" w:rsidTr="00CD7A0A">
        <w:trPr>
          <w:trHeight w:val="983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0EA518" w14:textId="77777777" w:rsidR="003300FD" w:rsidRPr="00977547" w:rsidRDefault="003300FD" w:rsidP="00A128E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77547">
              <w:rPr>
                <w:rFonts w:asciiTheme="minorHAnsi" w:hAnsiTheme="minorHAnsi" w:cstheme="minorHAnsi"/>
              </w:rPr>
              <w:t xml:space="preserve">Cena </w:t>
            </w:r>
            <w:r>
              <w:rPr>
                <w:rFonts w:asciiTheme="minorHAnsi" w:hAnsiTheme="minorHAnsi" w:cstheme="minorHAnsi"/>
              </w:rPr>
              <w:t>Služeb dle tohoto Katalogového listu</w:t>
            </w:r>
            <w:r w:rsidRPr="00977547">
              <w:rPr>
                <w:rFonts w:asciiTheme="minorHAnsi" w:hAnsiTheme="minorHAnsi" w:cstheme="minorHAnsi"/>
              </w:rPr>
              <w:t xml:space="preserve"> musí obsahovat náklady nezbytné pro </w:t>
            </w:r>
            <w:r>
              <w:rPr>
                <w:rFonts w:asciiTheme="minorHAnsi" w:hAnsiTheme="minorHAnsi" w:cstheme="minorHAnsi"/>
              </w:rPr>
              <w:t xml:space="preserve">jejich </w:t>
            </w:r>
            <w:r w:rsidRPr="00977547">
              <w:rPr>
                <w:rFonts w:asciiTheme="minorHAnsi" w:hAnsiTheme="minorHAnsi" w:cstheme="minorHAnsi"/>
              </w:rPr>
              <w:t>poskytování, zejména:</w:t>
            </w:r>
          </w:p>
          <w:p w14:paraId="23E06A27" w14:textId="77777777" w:rsidR="003300FD" w:rsidRPr="00977547" w:rsidRDefault="004B7623" w:rsidP="00A128E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Náklady na vlastní provoz vozidel</w:t>
            </w:r>
            <w:r w:rsidR="006D11F3">
              <w:rPr>
                <w:rFonts w:asciiTheme="minorHAnsi" w:hAnsiTheme="minorHAnsi" w:cstheme="minorHAnsi"/>
              </w:rPr>
              <w:t xml:space="preserve"> pro účely výkonů dle tohoto Katalogového listu</w:t>
            </w:r>
            <w:r>
              <w:rPr>
                <w:rFonts w:asciiTheme="minorHAnsi" w:hAnsiTheme="minorHAnsi" w:cstheme="minorHAnsi"/>
              </w:rPr>
              <w:t xml:space="preserve"> – PHM, oleje a další přímé provozní náklady vozidla.</w:t>
            </w:r>
          </w:p>
          <w:p w14:paraId="73552B3D" w14:textId="77777777" w:rsidR="003300FD" w:rsidRDefault="003300FD" w:rsidP="00A128E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77547">
              <w:rPr>
                <w:rFonts w:asciiTheme="minorHAnsi" w:hAnsiTheme="minorHAnsi" w:cstheme="minorHAnsi"/>
              </w:rPr>
              <w:t>Náklady na posypový materiál</w:t>
            </w:r>
            <w:r w:rsidR="00240EC1">
              <w:rPr>
                <w:rFonts w:asciiTheme="minorHAnsi" w:hAnsiTheme="minorHAnsi" w:cstheme="minorHAnsi"/>
              </w:rPr>
              <w:t xml:space="preserve"> včetně skrápěcího roztoku</w:t>
            </w:r>
            <w:r w:rsidRPr="00977547">
              <w:rPr>
                <w:rFonts w:asciiTheme="minorHAnsi" w:hAnsiTheme="minorHAnsi" w:cstheme="minorHAnsi"/>
              </w:rPr>
              <w:t>.</w:t>
            </w:r>
          </w:p>
          <w:p w14:paraId="2568B188" w14:textId="77777777" w:rsidR="003300FD" w:rsidRPr="00977547" w:rsidRDefault="003300FD" w:rsidP="00A128E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Nájezd k místu výkonu Služby a odjezd zpět k Poskytovateli.</w:t>
            </w:r>
          </w:p>
          <w:p w14:paraId="3C6F7750" w14:textId="77777777" w:rsidR="003300FD" w:rsidRDefault="003300FD" w:rsidP="003F73E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Jednotlivé Služby dle tohoto Katalogového listu budou poskytovány na základě Objednávek. Objednávky je Objednatel oprávněn činit prostřednictvím dispečinku Poskytovatele, zřízeného dle Katalogového listu Zimní připravenost.</w:t>
            </w:r>
          </w:p>
          <w:p w14:paraId="1B4107CA" w14:textId="77777777" w:rsidR="003300FD" w:rsidRDefault="003300FD" w:rsidP="00903FD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Objednávky činí Objednatel telefonicky nebo prostřednictvím e-mailu a to na kontaktní místa sdělená Poskytovatelem dle Katalogového listu 1 - Zimní připravenost. Poskytovatel bude jednotlivým Objednávkám přidělovat pořadová čísla v oddělených vzestupných řadách pro jednotlivé kalendářní měsíce. Poskytovatel je povinen Objednávku písemně potvrdit do 2 hodin od jejího obdržení. Rozhodným okamžikem pro dodržení kvalitativních parametrů Služeb dle tohoto Katalogového listu ve smyslu jeho kapitoly </w:t>
            </w:r>
            <w:r w:rsidR="00FB37B4">
              <w:rPr>
                <w:rFonts w:asciiTheme="minorHAnsi" w:hAnsiTheme="minorHAnsi" w:cstheme="minorHAnsi"/>
              </w:rPr>
              <w:t>F</w:t>
            </w:r>
            <w:r>
              <w:rPr>
                <w:rFonts w:asciiTheme="minorHAnsi" w:hAnsiTheme="minorHAnsi" w:cstheme="minorHAnsi"/>
              </w:rPr>
              <w:t xml:space="preserve"> je však okamžik obdržení Objednávky Poskytovatelem.</w:t>
            </w:r>
          </w:p>
          <w:p w14:paraId="28D48E0D" w14:textId="23F9044A" w:rsidR="00FB5038" w:rsidRPr="001A420A" w:rsidRDefault="00FB5038" w:rsidP="00903FD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 Objednávku se pro účely tohoto Katalogového listu dále považuje pokyn dispečinku dle kapitoly D. Katalogového listu Zimní připravenost</w:t>
            </w:r>
            <w:r w:rsidR="0082373D">
              <w:rPr>
                <w:rFonts w:asciiTheme="minorHAnsi" w:hAnsiTheme="minorHAnsi" w:cstheme="minorHAnsi"/>
              </w:rPr>
              <w:t xml:space="preserve"> ve vztahu k</w:t>
            </w:r>
            <w:r w:rsidR="00AD6C06">
              <w:rPr>
                <w:rFonts w:asciiTheme="minorHAnsi" w:hAnsiTheme="minorHAnsi" w:cstheme="minorHAnsi"/>
              </w:rPr>
              <w:t> místním komunikacím.</w:t>
            </w:r>
          </w:p>
          <w:p w14:paraId="7D5A4F01" w14:textId="77777777" w:rsidR="003300FD" w:rsidRPr="00AF7070" w:rsidRDefault="003300F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Poskytovatel je povinen </w:t>
            </w:r>
            <w:r>
              <w:rPr>
                <w:rFonts w:asciiTheme="minorHAnsi" w:hAnsiTheme="minorHAnsi" w:cstheme="minorHAnsi"/>
              </w:rPr>
              <w:t>zajistit a udržovat dostatečnou rezervu posypových materiálů pro účely poskytování služeb dle tohoto Katalogového listu.</w:t>
            </w:r>
          </w:p>
          <w:p w14:paraId="0C95C1BE" w14:textId="77777777" w:rsidR="00A67533" w:rsidRDefault="009F17FA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3" w:name="_Ref415740895"/>
            <w:r w:rsidRPr="009F17FA">
              <w:rPr>
                <w:rFonts w:asciiTheme="minorHAnsi" w:hAnsiTheme="minorHAnsi" w:cstheme="minorHAnsi"/>
              </w:rPr>
              <w:t xml:space="preserve">Poskytovatel je povinen vybavit vozy, jejichž prostřednictvím budou poskytovány Služby dle tohoto Katalogového listu, modulem na bázi GPS, který je schopen zaznamenat polohu vozidla a dobu pracovního výkonu stroje – nasazení pluhu, spuštění posypové nástavby, gramáž posypu na </w:t>
            </w:r>
            <w:r w:rsidR="00522A82">
              <w:rPr>
                <w:rFonts w:asciiTheme="minorHAnsi" w:hAnsiTheme="minorHAnsi" w:cstheme="minorHAnsi"/>
              </w:rPr>
              <w:t>čtverečný</w:t>
            </w:r>
            <w:r w:rsidR="00522A82" w:rsidRPr="009F17FA">
              <w:rPr>
                <w:rFonts w:asciiTheme="minorHAnsi" w:hAnsiTheme="minorHAnsi" w:cstheme="minorHAnsi"/>
              </w:rPr>
              <w:t xml:space="preserve"> </w:t>
            </w:r>
            <w:r w:rsidRPr="009F17FA">
              <w:rPr>
                <w:rFonts w:asciiTheme="minorHAnsi" w:hAnsiTheme="minorHAnsi" w:cstheme="minorHAnsi"/>
              </w:rPr>
              <w:t>metr vozovky.</w:t>
            </w:r>
            <w:bookmarkStart w:id="4" w:name="_Ref415747522"/>
            <w:bookmarkEnd w:id="3"/>
          </w:p>
          <w:p w14:paraId="68364A8C" w14:textId="77777777" w:rsidR="003300FD" w:rsidRPr="00977547" w:rsidRDefault="003300F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5" w:name="_Ref420275811"/>
            <w:r w:rsidRPr="00977547">
              <w:rPr>
                <w:rFonts w:asciiTheme="minorHAnsi" w:hAnsiTheme="minorHAnsi" w:cstheme="minorHAnsi"/>
              </w:rPr>
              <w:t xml:space="preserve">Poskytovatel je povinen zaznamenávat pohyb vozidel nasazených k plnění </w:t>
            </w:r>
            <w:r>
              <w:rPr>
                <w:rFonts w:asciiTheme="minorHAnsi" w:hAnsiTheme="minorHAnsi" w:cstheme="minorHAnsi"/>
              </w:rPr>
              <w:t>S</w:t>
            </w:r>
            <w:r w:rsidRPr="00977547">
              <w:rPr>
                <w:rFonts w:asciiTheme="minorHAnsi" w:hAnsiTheme="minorHAnsi" w:cstheme="minorHAnsi"/>
              </w:rPr>
              <w:t xml:space="preserve">lužeb </w:t>
            </w:r>
            <w:r>
              <w:rPr>
                <w:rFonts w:asciiTheme="minorHAnsi" w:hAnsiTheme="minorHAnsi" w:cstheme="minorHAnsi"/>
              </w:rPr>
              <w:t>dle tohoto Katalogového listu</w:t>
            </w:r>
            <w:r w:rsidRPr="00977547">
              <w:rPr>
                <w:rFonts w:asciiTheme="minorHAnsi" w:hAnsiTheme="minorHAnsi" w:cstheme="minorHAnsi"/>
              </w:rPr>
              <w:t xml:space="preserve"> a dále aktuální činnost vybavení instalovaného na vozidle</w:t>
            </w:r>
            <w:r w:rsidR="006B60FC">
              <w:rPr>
                <w:rFonts w:asciiTheme="minorHAnsi" w:hAnsiTheme="minorHAnsi" w:cstheme="minorHAnsi"/>
              </w:rPr>
              <w:t xml:space="preserve"> a zajistit k takto získaným údajům Poskytovateli přístup v rozsahu a způsobem uvedeným v Katalogovém listu Zimní připravenost</w:t>
            </w:r>
            <w:r w:rsidR="00CA15B8">
              <w:rPr>
                <w:rFonts w:asciiTheme="minorHAnsi" w:hAnsiTheme="minorHAnsi" w:cstheme="minorHAnsi"/>
              </w:rPr>
              <w:t xml:space="preserve"> ve vztahu k vozovkám</w:t>
            </w:r>
            <w:r w:rsidR="007201F3">
              <w:rPr>
                <w:rFonts w:asciiTheme="minorHAnsi" w:hAnsiTheme="minorHAnsi" w:cstheme="minorHAnsi"/>
              </w:rPr>
              <w:t>.</w:t>
            </w:r>
            <w:bookmarkEnd w:id="4"/>
            <w:bookmarkEnd w:id="5"/>
          </w:p>
          <w:p w14:paraId="05D6C35D" w14:textId="77777777" w:rsidR="00071F2C" w:rsidRPr="00977547" w:rsidRDefault="00071F2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977547">
              <w:rPr>
                <w:rFonts w:asciiTheme="minorHAnsi" w:hAnsiTheme="minorHAnsi" w:cstheme="minorHAnsi"/>
              </w:rPr>
              <w:t xml:space="preserve">Poskytovatel je povinen provádět posyp </w:t>
            </w:r>
            <w:r>
              <w:rPr>
                <w:rFonts w:asciiTheme="minorHAnsi" w:hAnsiTheme="minorHAnsi" w:cstheme="minorHAnsi"/>
              </w:rPr>
              <w:t xml:space="preserve">a skrápění </w:t>
            </w:r>
            <w:r w:rsidRPr="00977547">
              <w:rPr>
                <w:rFonts w:asciiTheme="minorHAnsi" w:hAnsiTheme="minorHAnsi" w:cstheme="minorHAnsi"/>
              </w:rPr>
              <w:t xml:space="preserve">v rámci </w:t>
            </w:r>
            <w:r w:rsidR="00903FDB">
              <w:rPr>
                <w:rFonts w:asciiTheme="minorHAnsi" w:hAnsiTheme="minorHAnsi" w:cstheme="minorHAnsi"/>
              </w:rPr>
              <w:t>výkonů zimní údržby vozovek</w:t>
            </w:r>
            <w:r w:rsidRPr="0097754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materiály</w:t>
            </w:r>
            <w:r w:rsidRPr="00977547">
              <w:rPr>
                <w:rFonts w:asciiTheme="minorHAnsi" w:hAnsiTheme="minorHAnsi" w:cstheme="minorHAnsi"/>
              </w:rPr>
              <w:t xml:space="preserve"> splňující</w:t>
            </w:r>
            <w:r>
              <w:rPr>
                <w:rFonts w:asciiTheme="minorHAnsi" w:hAnsiTheme="minorHAnsi" w:cstheme="minorHAnsi"/>
              </w:rPr>
              <w:t>mi</w:t>
            </w:r>
            <w:r w:rsidRPr="00977547">
              <w:rPr>
                <w:rFonts w:asciiTheme="minorHAnsi" w:hAnsiTheme="minorHAnsi" w:cstheme="minorHAnsi"/>
              </w:rPr>
              <w:t xml:space="preserve"> minimálně následující jakostní parametry (nemá-li být v daném případě posyp prováděn inertním materiálem):</w:t>
            </w:r>
          </w:p>
          <w:p w14:paraId="1B118CD8" w14:textId="77777777" w:rsidR="00071F2C" w:rsidRPr="00C6392D" w:rsidRDefault="00071F2C">
            <w:pPr>
              <w:pStyle w:val="Odstavecseseznamem"/>
              <w:keepLines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/>
              </w:rPr>
            </w:pPr>
            <w:proofErr w:type="spellStart"/>
            <w:r w:rsidRPr="00FD3E2B">
              <w:rPr>
                <w:rFonts w:asciiTheme="minorHAnsi" w:hAnsiTheme="minorHAnsi" w:cstheme="minorHAnsi"/>
              </w:rPr>
              <w:t>NaCl</w:t>
            </w:r>
            <w:proofErr w:type="spellEnd"/>
            <w:r w:rsidRPr="00FD3E2B">
              <w:rPr>
                <w:rFonts w:asciiTheme="minorHAnsi" w:hAnsiTheme="minorHAnsi" w:cstheme="minorHAnsi"/>
              </w:rPr>
              <w:t xml:space="preserve"> je krystalická rozmrazovací sůl s chemickým složením </w:t>
            </w:r>
            <w:proofErr w:type="spellStart"/>
            <w:r w:rsidRPr="00FD3E2B">
              <w:rPr>
                <w:rFonts w:asciiTheme="minorHAnsi" w:hAnsiTheme="minorHAnsi" w:cstheme="minorHAnsi"/>
              </w:rPr>
              <w:t>NaCl</w:t>
            </w:r>
            <w:proofErr w:type="spellEnd"/>
            <w:r w:rsidRPr="00FD3E2B">
              <w:rPr>
                <w:rFonts w:asciiTheme="minorHAnsi" w:hAnsiTheme="minorHAnsi" w:cstheme="minorHAnsi"/>
              </w:rPr>
              <w:t xml:space="preserve">, </w:t>
            </w:r>
            <w:r w:rsidRPr="00C6392D">
              <w:rPr>
                <w:rFonts w:asciiTheme="minorHAnsi" w:hAnsiTheme="minorHAnsi" w:cstheme="minorHAnsi"/>
                <w:b/>
              </w:rPr>
              <w:t xml:space="preserve">vykazující maximálně 2 váhová procenta stálé vlhkosti a minimálně 96 váhových procent účinné rozpouštěcí substance, se zrnitostí 0,16 až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C6392D">
                <w:rPr>
                  <w:rFonts w:asciiTheme="minorHAnsi" w:hAnsiTheme="minorHAnsi" w:cstheme="minorHAnsi"/>
                  <w:b/>
                </w:rPr>
                <w:t>5 mm</w:t>
              </w:r>
            </w:smartTag>
            <w:r w:rsidRPr="00C6392D">
              <w:rPr>
                <w:rFonts w:asciiTheme="minorHAnsi" w:hAnsiTheme="minorHAnsi" w:cstheme="minorHAnsi"/>
                <w:b/>
              </w:rPr>
              <w:t xml:space="preserve">, obsahující </w:t>
            </w:r>
            <w:proofErr w:type="spellStart"/>
            <w:r w:rsidRPr="00C6392D">
              <w:rPr>
                <w:rFonts w:asciiTheme="minorHAnsi" w:hAnsiTheme="minorHAnsi" w:cstheme="minorHAnsi"/>
                <w:b/>
              </w:rPr>
              <w:t>protispékací</w:t>
            </w:r>
            <w:proofErr w:type="spellEnd"/>
            <w:r w:rsidRPr="00C6392D">
              <w:rPr>
                <w:rFonts w:asciiTheme="minorHAnsi" w:hAnsiTheme="minorHAnsi" w:cstheme="minorHAnsi"/>
                <w:b/>
              </w:rPr>
              <w:t xml:space="preserve"> příměsi.</w:t>
            </w:r>
          </w:p>
          <w:p w14:paraId="0B550DF1" w14:textId="72DE0A49" w:rsidR="00BD4E55" w:rsidRDefault="00071F2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862F98">
              <w:rPr>
                <w:rFonts w:asciiTheme="minorHAnsi" w:hAnsiTheme="minorHAnsi" w:cstheme="minorHAnsi"/>
              </w:rPr>
              <w:t>CaCl</w:t>
            </w:r>
            <w:r w:rsidRPr="00FD3E2B">
              <w:rPr>
                <w:rFonts w:asciiTheme="minorHAnsi" w:hAnsiTheme="minorHAnsi" w:cstheme="minorHAnsi"/>
                <w:vertAlign w:val="subscript"/>
              </w:rPr>
              <w:t>2</w:t>
            </w:r>
            <w:r w:rsidRPr="00862F98">
              <w:rPr>
                <w:rFonts w:asciiTheme="minorHAnsi" w:hAnsiTheme="minorHAnsi" w:cstheme="minorHAnsi"/>
              </w:rPr>
              <w:t xml:space="preserve"> je chemický roztok chloridu vápenatého s chemickým složením CaCl</w:t>
            </w:r>
            <w:r w:rsidRPr="00FD3E2B">
              <w:rPr>
                <w:rFonts w:asciiTheme="minorHAnsi" w:hAnsiTheme="minorHAnsi" w:cstheme="minorHAnsi"/>
                <w:vertAlign w:val="subscript"/>
              </w:rPr>
              <w:t>2</w:t>
            </w:r>
            <w:r w:rsidRPr="00862F98">
              <w:rPr>
                <w:rFonts w:asciiTheme="minorHAnsi" w:hAnsiTheme="minorHAnsi" w:cstheme="minorHAnsi"/>
              </w:rPr>
              <w:t xml:space="preserve"> o minimální koncentraci 25 %.</w:t>
            </w:r>
          </w:p>
          <w:p w14:paraId="4B3D7713" w14:textId="222C2885" w:rsidR="00236EB7" w:rsidRPr="00236EB7" w:rsidRDefault="00236EB7" w:rsidP="00236EB7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Zhotovitel vždy po nákupu výše popsaných materiálů doloží objednateli dodací listy a certifikát o jejich jakosti. </w:t>
            </w:r>
          </w:p>
          <w:p w14:paraId="5904975D" w14:textId="77777777" w:rsidR="003300FD" w:rsidRPr="00E00B5C" w:rsidRDefault="00071F2C" w:rsidP="00A51C1F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6" w:name="_Ref423504314"/>
            <w:r>
              <w:rPr>
                <w:rFonts w:asciiTheme="minorHAnsi" w:hAnsiTheme="minorHAnsi" w:cstheme="minorHAnsi"/>
              </w:rPr>
              <w:t xml:space="preserve">Provádění Služeb dle tohoto katalogového listu je Poskytovatel povinen zaznamenávat do </w:t>
            </w:r>
            <w:r w:rsidRPr="00071F2C">
              <w:rPr>
                <w:rFonts w:asciiTheme="minorHAnsi" w:hAnsiTheme="minorHAnsi" w:cstheme="minorHAnsi"/>
              </w:rPr>
              <w:t xml:space="preserve">týdenní </w:t>
            </w:r>
            <w:r w:rsidR="00522A82">
              <w:rPr>
                <w:rFonts w:asciiTheme="minorHAnsi" w:hAnsiTheme="minorHAnsi" w:cstheme="minorHAnsi"/>
              </w:rPr>
              <w:t>souhr</w:t>
            </w:r>
            <w:r w:rsidR="00AF2799">
              <w:rPr>
                <w:rFonts w:asciiTheme="minorHAnsi" w:hAnsiTheme="minorHAnsi" w:cstheme="minorHAnsi"/>
              </w:rPr>
              <w:t>n</w:t>
            </w:r>
            <w:r w:rsidR="00522A82">
              <w:rPr>
                <w:rFonts w:asciiTheme="minorHAnsi" w:hAnsiTheme="minorHAnsi" w:cstheme="minorHAnsi"/>
              </w:rPr>
              <w:t xml:space="preserve">ný </w:t>
            </w:r>
            <w:r w:rsidRPr="00071F2C">
              <w:rPr>
                <w:rFonts w:asciiTheme="minorHAnsi" w:hAnsiTheme="minorHAnsi" w:cstheme="minorHAnsi"/>
              </w:rPr>
              <w:t xml:space="preserve">soupis výkonů pro vozovky dle </w:t>
            </w:r>
            <w:r w:rsidR="00A51C1F" w:rsidRPr="00A51C1F">
              <w:rPr>
                <w:rFonts w:asciiTheme="minorHAnsi" w:hAnsiTheme="minorHAnsi" w:cstheme="minorHAnsi"/>
              </w:rPr>
              <w:t>operačního plánu provádění zimní údržby silnic (dále jen „</w:t>
            </w:r>
            <w:r w:rsidR="00A51C1F" w:rsidRPr="00A51C1F">
              <w:rPr>
                <w:rFonts w:asciiTheme="minorHAnsi" w:hAnsiTheme="minorHAnsi" w:cstheme="minorHAnsi"/>
                <w:b/>
              </w:rPr>
              <w:t>OPPZÚS</w:t>
            </w:r>
            <w:r w:rsidR="00A51C1F" w:rsidRPr="00A51C1F">
              <w:rPr>
                <w:rFonts w:asciiTheme="minorHAnsi" w:hAnsiTheme="minorHAnsi" w:cstheme="minorHAnsi"/>
              </w:rPr>
              <w:t>“)</w:t>
            </w:r>
            <w:r w:rsidRPr="00071F2C" w:rsidDel="00071F2C">
              <w:rPr>
                <w:rFonts w:asciiTheme="minorHAnsi" w:hAnsiTheme="minorHAnsi" w:cstheme="minorHAnsi"/>
              </w:rPr>
              <w:t xml:space="preserve"> </w:t>
            </w:r>
            <w:r w:rsidR="00A51C1F">
              <w:rPr>
                <w:rFonts w:asciiTheme="minorHAnsi" w:hAnsiTheme="minorHAnsi" w:cstheme="minorHAnsi"/>
              </w:rPr>
              <w:t>jak je vymezen v kapitole B</w:t>
            </w:r>
            <w:r>
              <w:rPr>
                <w:rFonts w:asciiTheme="minorHAnsi" w:hAnsiTheme="minorHAnsi" w:cstheme="minorHAnsi"/>
              </w:rPr>
              <w:t xml:space="preserve"> Katalogového listu Zimní připravenost.</w:t>
            </w:r>
            <w:bookmarkStart w:id="7" w:name="_Ref417565655"/>
            <w:bookmarkEnd w:id="6"/>
          </w:p>
        </w:tc>
        <w:bookmarkEnd w:id="7"/>
      </w:tr>
      <w:tr w:rsidR="003300FD" w:rsidRPr="00A86F05" w14:paraId="01EE29D5" w14:textId="77777777" w:rsidTr="00934F1A">
        <w:trPr>
          <w:trHeight w:val="347"/>
        </w:trPr>
        <w:tc>
          <w:tcPr>
            <w:tcW w:w="0" w:type="auto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</w:tcPr>
          <w:p w14:paraId="5F7AB7E8" w14:textId="77777777" w:rsidR="003300FD" w:rsidRPr="00A86F05" w:rsidRDefault="003300FD" w:rsidP="00A128E3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8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8"/>
          </w:p>
        </w:tc>
      </w:tr>
      <w:tr w:rsidR="003300FD" w:rsidRPr="00A86F05" w14:paraId="458F3EC9" w14:textId="77777777" w:rsidTr="00CD7A0A">
        <w:trPr>
          <w:trHeight w:val="694"/>
        </w:trPr>
        <w:tc>
          <w:tcPr>
            <w:tcW w:w="0" w:type="auto"/>
            <w:gridSpan w:val="3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28C78F18" w14:textId="77777777" w:rsidR="003300FD" w:rsidRPr="00A86F05" w:rsidRDefault="003300FD" w:rsidP="00F80309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fakturovat cenu za poskytnutí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dle tohoto katalogového listu měsíčně nazpět. Fakturu je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oprávněn vystavit po akceptaci plnění níže definovaným způsobem. Splatnost faktury činí 14 dní ode dne doručení faktury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bjednateli.</w:t>
            </w:r>
          </w:p>
          <w:p w14:paraId="0AC966D6" w14:textId="77777777" w:rsidR="003300FD" w:rsidRPr="00F80309" w:rsidRDefault="003300FD" w:rsidP="00F80309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F80309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6B7AE56C" w14:textId="77777777" w:rsidR="003300FD" w:rsidRPr="00CA3280" w:rsidRDefault="003300FD" w:rsidP="00F80309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A3280">
              <w:rPr>
                <w:rFonts w:asciiTheme="minorHAnsi" w:hAnsiTheme="minorHAnsi" w:cstheme="minorHAnsi"/>
              </w:rPr>
              <w:t>V rámci akceptační procedury předá Poskytovatel nejpozději do 10. dne měsíce následujícího po měsíci, v němž byly objednané Služby poskytnuty, Objednateli následující doklady:</w:t>
            </w:r>
          </w:p>
          <w:p w14:paraId="64C05D96" w14:textId="77777777" w:rsidR="003300FD" w:rsidRPr="00CA3280" w:rsidRDefault="003300FD" w:rsidP="00F80309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záznam o provedení Služeb dle bodu </w:t>
            </w:r>
            <w:r w:rsidR="00FB37B4">
              <w:rPr>
                <w:rFonts w:asciiTheme="minorHAnsi" w:hAnsiTheme="minorHAnsi" w:cstheme="minorHAnsi"/>
              </w:rPr>
              <w:t>9</w:t>
            </w:r>
            <w:r w:rsidR="003F41E8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kapitoly </w:t>
            </w:r>
            <w:r w:rsidR="00FB37B4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 xml:space="preserve"> tohoto Katalogového listu</w:t>
            </w:r>
            <w:r w:rsidRPr="00F80309">
              <w:rPr>
                <w:rFonts w:asciiTheme="minorHAnsi" w:hAnsiTheme="minorHAnsi" w:cstheme="minorHAnsi"/>
              </w:rPr>
              <w:t>;</w:t>
            </w:r>
          </w:p>
          <w:p w14:paraId="42D33F59" w14:textId="77777777" w:rsidR="003300FD" w:rsidRPr="00CA3280" w:rsidRDefault="003300FD" w:rsidP="003F41E8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023672">
              <w:rPr>
                <w:rFonts w:asciiTheme="minorHAnsi" w:hAnsiTheme="minorHAnsi" w:cstheme="minorHAnsi"/>
              </w:rPr>
              <w:t xml:space="preserve">záznamy z GPS modulů vozidel v rozsahu dle bodu </w:t>
            </w:r>
            <w:r w:rsidR="00D7274C">
              <w:rPr>
                <w:rFonts w:asciiTheme="minorHAnsi" w:hAnsiTheme="minorHAnsi" w:cstheme="minorHAnsi"/>
              </w:rPr>
              <w:t>7</w:t>
            </w:r>
            <w:r w:rsidRPr="00023672">
              <w:rPr>
                <w:rFonts w:asciiTheme="minorHAnsi" w:hAnsiTheme="minorHAnsi" w:cstheme="minorHAnsi"/>
              </w:rPr>
              <w:t xml:space="preserve">. kapitoly </w:t>
            </w:r>
            <w:r w:rsidR="00D7274C">
              <w:rPr>
                <w:rFonts w:asciiTheme="minorHAnsi" w:hAnsiTheme="minorHAnsi" w:cstheme="minorHAnsi"/>
              </w:rPr>
              <w:t xml:space="preserve">D </w:t>
            </w:r>
            <w:r w:rsidRPr="00023672">
              <w:rPr>
                <w:rFonts w:asciiTheme="minorHAnsi" w:hAnsiTheme="minorHAnsi" w:cstheme="minorHAnsi"/>
              </w:rPr>
              <w:t>tohoto Katalogového listu</w:t>
            </w:r>
            <w:r w:rsidR="00071F2C">
              <w:rPr>
                <w:rFonts w:asciiTheme="minorHAnsi" w:hAnsiTheme="minorHAnsi" w:cstheme="minorHAnsi"/>
              </w:rPr>
              <w:t>.</w:t>
            </w:r>
          </w:p>
          <w:p w14:paraId="3D321CD6" w14:textId="77777777" w:rsidR="003300FD" w:rsidRPr="00CA3280" w:rsidRDefault="003300FD" w:rsidP="00F80309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A3280">
              <w:rPr>
                <w:rFonts w:asciiTheme="minorHAnsi" w:hAnsiTheme="minorHAnsi" w:cstheme="minorHAnsi"/>
              </w:rPr>
              <w:lastRenderedPageBreak/>
              <w:t xml:space="preserve">K předloženým dokladům je Objednatel oprávněn do 10 </w:t>
            </w:r>
            <w:r>
              <w:rPr>
                <w:rFonts w:asciiTheme="minorHAnsi" w:hAnsiTheme="minorHAnsi" w:cstheme="minorHAnsi"/>
              </w:rPr>
              <w:t xml:space="preserve">pracovních </w:t>
            </w:r>
            <w:r w:rsidRPr="00CA3280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Objednatel akceptoval poskytnutí Služeb v plném rozsahu dle </w:t>
            </w:r>
            <w:r>
              <w:rPr>
                <w:rFonts w:asciiTheme="minorHAnsi" w:hAnsiTheme="minorHAnsi" w:cstheme="minorHAnsi"/>
              </w:rPr>
              <w:t xml:space="preserve">pro daný kalendářní měsíc </w:t>
            </w:r>
            <w:r w:rsidRPr="00CA3280">
              <w:rPr>
                <w:rFonts w:asciiTheme="minorHAnsi" w:hAnsiTheme="minorHAnsi" w:cstheme="minorHAnsi"/>
              </w:rPr>
              <w:t>učiněn</w:t>
            </w:r>
            <w:r>
              <w:rPr>
                <w:rFonts w:asciiTheme="minorHAnsi" w:hAnsiTheme="minorHAnsi" w:cstheme="minorHAnsi"/>
              </w:rPr>
              <w:t>ých</w:t>
            </w:r>
            <w:r w:rsidRPr="00CA3280">
              <w:rPr>
                <w:rFonts w:asciiTheme="minorHAnsi" w:hAnsiTheme="minorHAnsi" w:cstheme="minorHAnsi"/>
              </w:rPr>
              <w:t xml:space="preserve"> Objednáv</w:t>
            </w:r>
            <w:r>
              <w:rPr>
                <w:rFonts w:asciiTheme="minorHAnsi" w:hAnsiTheme="minorHAnsi" w:cstheme="minorHAnsi"/>
              </w:rPr>
              <w:t>e</w:t>
            </w:r>
            <w:r w:rsidRPr="00CA3280">
              <w:rPr>
                <w:rFonts w:asciiTheme="minorHAnsi" w:hAnsiTheme="minorHAnsi" w:cstheme="minorHAnsi"/>
              </w:rPr>
              <w:t>k.</w:t>
            </w:r>
          </w:p>
          <w:p w14:paraId="46891FF9" w14:textId="77777777" w:rsidR="003300FD" w:rsidRPr="00CA3280" w:rsidRDefault="003300FD" w:rsidP="00F80309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A3280">
              <w:rPr>
                <w:rFonts w:asciiTheme="minorHAnsi" w:hAnsiTheme="minorHAnsi" w:cstheme="minorHAnsi"/>
              </w:rPr>
              <w:t>Připomínky je Objednatel oprávněn uplatnit v následujících kategoriích:</w:t>
            </w:r>
          </w:p>
          <w:p w14:paraId="159C7252" w14:textId="77777777" w:rsidR="003300FD" w:rsidRPr="00CA3280" w:rsidRDefault="003300FD" w:rsidP="00A128E3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9" w:name="_Ref412154827"/>
            <w:r w:rsidRPr="00CA3280">
              <w:rPr>
                <w:rFonts w:asciiTheme="minorHAnsi" w:hAnsiTheme="minorHAnsi" w:cstheme="minorHAnsi"/>
                <w:sz w:val="22"/>
                <w:szCs w:val="22"/>
              </w:rPr>
              <w:t>neprovedení Služeb v rozsahu dle Objednávky</w:t>
            </w:r>
            <w:r w:rsidRPr="00CA32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;</w:t>
            </w:r>
            <w:bookmarkEnd w:id="9"/>
          </w:p>
          <w:p w14:paraId="2DDA659E" w14:textId="77777777" w:rsidR="003300FD" w:rsidRPr="00CA3280" w:rsidRDefault="003300FD" w:rsidP="00A128E3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0" w:name="_Ref412154902"/>
            <w:r w:rsidRPr="00CA3280">
              <w:rPr>
                <w:rFonts w:asciiTheme="minorHAnsi" w:hAnsiTheme="minorHAnsi" w:cstheme="minorHAnsi"/>
                <w:sz w:val="22"/>
                <w:szCs w:val="22"/>
              </w:rPr>
              <w:t>porušení kvalitativních parametrů Služby</w:t>
            </w:r>
            <w:r w:rsidRPr="00CA32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;</w:t>
            </w:r>
            <w:bookmarkEnd w:id="10"/>
          </w:p>
          <w:p w14:paraId="2E793039" w14:textId="77777777" w:rsidR="003300FD" w:rsidRPr="00CA3280" w:rsidRDefault="003300FD" w:rsidP="00A128E3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1" w:name="_Ref412154961"/>
            <w:r w:rsidRPr="00CA3280">
              <w:rPr>
                <w:rFonts w:asciiTheme="minorHAnsi" w:hAnsiTheme="minorHAnsi" w:cstheme="minorHAnsi"/>
                <w:sz w:val="22"/>
                <w:szCs w:val="22"/>
              </w:rPr>
              <w:t xml:space="preserve">porušení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jiných </w:t>
            </w:r>
            <w:r w:rsidRPr="00CA3280">
              <w:rPr>
                <w:rFonts w:asciiTheme="minorHAnsi" w:hAnsiTheme="minorHAnsi" w:cstheme="minorHAnsi"/>
                <w:sz w:val="22"/>
                <w:szCs w:val="22"/>
              </w:rPr>
              <w:t>povinností zakládajících nárok Objednatele na smluvní pokutu;</w:t>
            </w:r>
            <w:bookmarkEnd w:id="11"/>
          </w:p>
          <w:p w14:paraId="7A3BBBAB" w14:textId="77777777" w:rsidR="003300FD" w:rsidRPr="00CA3280" w:rsidRDefault="003300FD" w:rsidP="00A128E3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3280">
              <w:rPr>
                <w:rFonts w:asciiTheme="minorHAnsi" w:hAnsiTheme="minorHAnsi" w:cstheme="minorHAnsi"/>
                <w:sz w:val="22"/>
                <w:szCs w:val="22"/>
              </w:rPr>
              <w:t>jiné připomínky bez dopadu na výši fakturované částky a oprávnění fakturovat.</w:t>
            </w:r>
          </w:p>
          <w:p w14:paraId="609B7B77" w14:textId="77777777" w:rsidR="003300FD" w:rsidRPr="00CA3280" w:rsidRDefault="003300FD" w:rsidP="00F80309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A3280">
              <w:rPr>
                <w:rFonts w:asciiTheme="minorHAnsi" w:hAnsiTheme="minorHAnsi" w:cstheme="minorHAnsi"/>
              </w:rPr>
              <w:t xml:space="preserve">Poskytovatel je oprávněn doložit neoprávněnost připomínek ve lhůtě do 5 </w:t>
            </w:r>
            <w:r>
              <w:rPr>
                <w:rFonts w:asciiTheme="minorHAnsi" w:hAnsiTheme="minorHAnsi" w:cstheme="minorHAnsi"/>
              </w:rPr>
              <w:t>pracovních</w:t>
            </w:r>
            <w:r w:rsidRPr="00CA3280">
              <w:rPr>
                <w:rFonts w:asciiTheme="minorHAnsi" w:hAnsiTheme="minorHAnsi" w:cstheme="minorHAnsi"/>
              </w:rPr>
              <w:t xml:space="preserve"> dnů ode dne jejich obdržení. V takovém případě Objednatel takto poskytnuté podklady posoudí a do </w:t>
            </w:r>
            <w:r>
              <w:rPr>
                <w:rFonts w:asciiTheme="minorHAnsi" w:hAnsiTheme="minorHAnsi" w:cstheme="minorHAnsi"/>
              </w:rPr>
              <w:t>5</w:t>
            </w:r>
            <w:r w:rsidRPr="00CA328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pracovních</w:t>
            </w:r>
            <w:r w:rsidRPr="00CA3280">
              <w:rPr>
                <w:rFonts w:asciiTheme="minorHAnsi" w:hAnsiTheme="minorHAnsi" w:cstheme="minorHAnsi"/>
              </w:rPr>
              <w:t xml:space="preserve"> dnů odešle Poskytovateli nové připomínky či sdělení o akceptaci důvodů pro neoprávněnost připomínek. Uvedená procedura se může opakovat i vícekrát.</w:t>
            </w:r>
          </w:p>
          <w:p w14:paraId="47DC773F" w14:textId="77777777" w:rsidR="003300FD" w:rsidRPr="00903FDB" w:rsidRDefault="003300FD" w:rsidP="00F80309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903FDB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6FD77EC1" w14:textId="77777777" w:rsidR="003300FD" w:rsidRDefault="003300FD" w:rsidP="00F80309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14:paraId="3926AE45" w14:textId="77777777" w:rsidR="003300FD" w:rsidRDefault="003300FD" w:rsidP="00F80309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1BF86629" w14:textId="77777777" w:rsidR="001E53DB" w:rsidRDefault="003300FD" w:rsidP="00F80309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 w:rsidR="001E53DB">
              <w:rPr>
                <w:rFonts w:asciiTheme="minorHAnsi" w:hAnsiTheme="minorHAnsi" w:cstheme="minorHAnsi"/>
              </w:rPr>
              <w:t>odstavcích</w:t>
            </w:r>
            <w:r>
              <w:rPr>
                <w:rFonts w:asciiTheme="minorHAnsi" w:hAnsiTheme="minorHAnsi" w:cstheme="minorHAnsi"/>
              </w:rPr>
              <w:t xml:space="preserve">, je </w:t>
            </w:r>
            <w:r w:rsidRPr="00A86F05">
              <w:rPr>
                <w:rFonts w:asciiTheme="minorHAnsi" w:hAnsiTheme="minorHAnsi" w:cstheme="minorHAnsi"/>
              </w:rPr>
              <w:t xml:space="preserve">Poskytovatel </w:t>
            </w:r>
            <w:r>
              <w:rPr>
                <w:rFonts w:asciiTheme="minorHAnsi" w:hAnsiTheme="minorHAnsi" w:cstheme="minorHAnsi"/>
              </w:rPr>
              <w:t xml:space="preserve">oprávněn vystavit </w:t>
            </w:r>
            <w:r w:rsidRPr="00A86F05">
              <w:rPr>
                <w:rFonts w:asciiTheme="minorHAnsi" w:hAnsiTheme="minorHAnsi" w:cstheme="minorHAnsi"/>
              </w:rPr>
              <w:t xml:space="preserve">fakturu za poskytování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v příslušném měsíci </w:t>
            </w:r>
            <w:r>
              <w:rPr>
                <w:rFonts w:asciiTheme="minorHAnsi" w:hAnsiTheme="minorHAnsi" w:cstheme="minorHAnsi"/>
              </w:rPr>
              <w:t>den po obdržení vyjádření Objednatele k předloženým dokladům o neoprávněnosti připomínek</w:t>
            </w:r>
            <w:r w:rsidR="001E53DB">
              <w:rPr>
                <w:rFonts w:asciiTheme="minorHAnsi" w:hAnsiTheme="minorHAnsi" w:cstheme="minorHAnsi"/>
              </w:rPr>
              <w:t>.</w:t>
            </w:r>
          </w:p>
          <w:p w14:paraId="2373E540" w14:textId="77777777" w:rsidR="001E53DB" w:rsidRDefault="003300FD" w:rsidP="00F80309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případě, že k takto obdrženému vyjádření Objednatele nemá Poskytovatel výhrady, zohlední v rámci fakturace původně uplatněné připomínky Objednatele modifikované v souladu s vyjádřením Objednatele k jejich dokládané neoprávněnosti.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</w:p>
          <w:p w14:paraId="302E7E20" w14:textId="77777777" w:rsidR="001E53DB" w:rsidRDefault="003300FD" w:rsidP="00F80309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však ohledně oprávněnosti připomínek bude nadále přetrvávat nesouhlas, zohlední Poskytovatel v rámci fakturace připomínky Objednatele upravené v rozsahu, v jakém dle vyjádření Objednatele k předloženým dokladům o neoprávněnosti připomínek bude mezi smluvními stranami panovat shoda. </w:t>
            </w:r>
          </w:p>
          <w:p w14:paraId="02A95C1C" w14:textId="77777777" w:rsidR="003300FD" w:rsidRDefault="003300FD" w:rsidP="00F80309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Pokud po</w:t>
            </w:r>
            <w:r w:rsidR="001E53DB">
              <w:rPr>
                <w:rFonts w:asciiTheme="minorHAnsi" w:hAnsiTheme="minorHAnsi" w:cstheme="minorHAnsi"/>
              </w:rPr>
              <w:t xml:space="preserve"> konečném</w:t>
            </w:r>
            <w:r>
              <w:rPr>
                <w:rFonts w:asciiTheme="minorHAnsi" w:hAnsiTheme="minorHAnsi" w:cstheme="minorHAnsi"/>
              </w:rPr>
              <w:t xml:space="preserve"> dosažení shody ohledně připomínek dojde ke změně jejich</w:t>
            </w:r>
            <w:r w:rsidR="001E53DB">
              <w:rPr>
                <w:rFonts w:asciiTheme="minorHAnsi" w:hAnsiTheme="minorHAnsi" w:cstheme="minorHAnsi"/>
              </w:rPr>
              <w:t xml:space="preserve"> akceptovaného</w:t>
            </w:r>
            <w:r>
              <w:rPr>
                <w:rFonts w:asciiTheme="minorHAnsi" w:hAnsiTheme="minorHAnsi" w:cstheme="minorHAnsi"/>
              </w:rPr>
              <w:t xml:space="preserve"> rozsahu</w:t>
            </w:r>
            <w:r w:rsidR="001E53DB">
              <w:rPr>
                <w:rFonts w:asciiTheme="minorHAnsi" w:hAnsiTheme="minorHAnsi" w:cstheme="minorHAnsi"/>
              </w:rPr>
              <w:t xml:space="preserve"> oproti předchozímu odstavci</w:t>
            </w:r>
            <w:r>
              <w:rPr>
                <w:rFonts w:asciiTheme="minorHAnsi" w:hAnsiTheme="minorHAnsi" w:cstheme="minorHAnsi"/>
              </w:rPr>
              <w:t>, bude dopad této změny reflektován ve faktuře za měsíc</w:t>
            </w:r>
            <w:r w:rsidR="004D4B49">
              <w:rPr>
                <w:rFonts w:asciiTheme="minorHAnsi" w:hAnsiTheme="minorHAnsi" w:cstheme="minorHAnsi"/>
              </w:rPr>
              <w:t xml:space="preserve"> poskytování Služeb dle tohoto Katalogového listu, která bude nejblíže časově následovat po okamžiku dosažení takové shody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363F406A" w14:textId="77777777" w:rsidR="003300FD" w:rsidRPr="00A86F05" w:rsidRDefault="003300FD" w:rsidP="00F80309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vystaví fakturu na částku odpovídající rozsahu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>lužeb specifikovaném</w:t>
            </w:r>
            <w:r>
              <w:rPr>
                <w:rFonts w:asciiTheme="minorHAnsi" w:hAnsiTheme="minorHAnsi" w:cstheme="minorHAnsi"/>
              </w:rPr>
              <w:t>u</w:t>
            </w:r>
            <w:r w:rsidRPr="00A86F05">
              <w:rPr>
                <w:rFonts w:asciiTheme="minorHAnsi" w:hAnsiTheme="minorHAnsi" w:cstheme="minorHAnsi"/>
              </w:rPr>
              <w:t xml:space="preserve"> v 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bjednáv</w:t>
            </w:r>
            <w:r>
              <w:rPr>
                <w:rFonts w:asciiTheme="minorHAnsi" w:hAnsiTheme="minorHAnsi" w:cstheme="minorHAnsi"/>
              </w:rPr>
              <w:t>kách pro daný kalendářní měsíc</w:t>
            </w:r>
            <w:r w:rsidRPr="00A86F05">
              <w:rPr>
                <w:rFonts w:asciiTheme="minorHAnsi" w:hAnsiTheme="minorHAnsi" w:cstheme="minorHAnsi"/>
              </w:rPr>
              <w:t xml:space="preserve"> a oceněném</w:t>
            </w:r>
            <w:r>
              <w:rPr>
                <w:rFonts w:asciiTheme="minorHAnsi" w:hAnsiTheme="minorHAnsi" w:cstheme="minorHAnsi"/>
              </w:rPr>
              <w:t>u</w:t>
            </w:r>
            <w:r w:rsidRPr="00A86F05">
              <w:rPr>
                <w:rFonts w:asciiTheme="minorHAnsi" w:hAnsiTheme="minorHAnsi" w:cstheme="minorHAnsi"/>
              </w:rPr>
              <w:t xml:space="preserve"> na základě jednotkových cen uvedených v části </w:t>
            </w:r>
            <w:r w:rsidR="00FB37B4">
              <w:rPr>
                <w:rFonts w:asciiTheme="minorHAnsi" w:hAnsiTheme="minorHAnsi" w:cstheme="minorHAnsi"/>
              </w:rPr>
              <w:t>C</w:t>
            </w:r>
            <w:r w:rsidRPr="00A86F05">
              <w:rPr>
                <w:rFonts w:asciiTheme="minorHAnsi" w:hAnsiTheme="minorHAnsi" w:cstheme="minorHAnsi"/>
              </w:rPr>
              <w:t xml:space="preserve"> tohoto </w:t>
            </w:r>
            <w:r>
              <w:rPr>
                <w:rFonts w:asciiTheme="minorHAnsi" w:hAnsiTheme="minorHAnsi" w:cstheme="minorHAnsi"/>
              </w:rPr>
              <w:t>K</w:t>
            </w:r>
            <w:r w:rsidRPr="00A86F05">
              <w:rPr>
                <w:rFonts w:asciiTheme="minorHAnsi" w:hAnsiTheme="minorHAnsi" w:cstheme="minorHAnsi"/>
              </w:rPr>
              <w:t>atalogového listu. Takto vypočtená částka bude:</w:t>
            </w:r>
          </w:p>
          <w:p w14:paraId="3396FCBA" w14:textId="77777777" w:rsidR="003300FD" w:rsidRPr="00A86F05" w:rsidRDefault="003300FD" w:rsidP="00F80309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o neprovedené objednané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lužby v rozsahu připomínek dle bodu </w:t>
            </w:r>
            <w:r w:rsidR="00FB37B4">
              <w:rPr>
                <w:rFonts w:asciiTheme="minorHAnsi" w:hAnsiTheme="minorHAnsi" w:cstheme="minorHAnsi"/>
              </w:rPr>
              <w:t>A</w:t>
            </w:r>
            <w:r w:rsidRPr="00A86F05">
              <w:rPr>
                <w:rFonts w:asciiTheme="minorHAnsi" w:hAnsiTheme="minorHAnsi" w:cstheme="minorHAnsi"/>
              </w:rPr>
              <w:t xml:space="preserve"> výše</w:t>
            </w:r>
            <w:r w:rsidRPr="004D4B49">
              <w:rPr>
                <w:rFonts w:asciiTheme="minorHAnsi" w:hAnsiTheme="minorHAnsi" w:cstheme="minorHAnsi"/>
              </w:rPr>
              <w:t>; a následně</w:t>
            </w:r>
          </w:p>
          <w:p w14:paraId="426A2A5C" w14:textId="77777777" w:rsidR="003300FD" w:rsidRPr="00A86F05" w:rsidRDefault="003300FD" w:rsidP="00F80309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ponížena o uplatněné smluvní pokuty v rozsahu připomínek dle bodu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FB37B4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 xml:space="preserve"> a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 w:rsidR="00FB37B4">
              <w:rPr>
                <w:rFonts w:asciiTheme="minorHAnsi" w:hAnsiTheme="minorHAnsi" w:cstheme="minorHAnsi"/>
              </w:rPr>
              <w:t xml:space="preserve">C </w:t>
            </w:r>
            <w:r w:rsidRPr="00A86F05">
              <w:rPr>
                <w:rFonts w:asciiTheme="minorHAnsi" w:hAnsiTheme="minorHAnsi" w:cstheme="minorHAnsi"/>
              </w:rPr>
              <w:t>výše.</w:t>
            </w:r>
          </w:p>
          <w:p w14:paraId="7DE7ED80" w14:textId="77777777" w:rsidR="003300FD" w:rsidRPr="00A86F05" w:rsidRDefault="003300FD" w:rsidP="00F80309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lastRenderedPageBreak/>
              <w:t>Výše uvedený mechanismus bude zachycen ve struktuře faktury. Přílohou faktury bud</w:t>
            </w:r>
            <w:r>
              <w:rPr>
                <w:rFonts w:asciiTheme="minorHAnsi" w:hAnsiTheme="minorHAnsi" w:cstheme="minorHAnsi"/>
              </w:rPr>
              <w:t>ou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bjednáv</w:t>
            </w:r>
            <w:r>
              <w:rPr>
                <w:rFonts w:asciiTheme="minorHAnsi" w:hAnsiTheme="minorHAnsi" w:cstheme="minorHAnsi"/>
              </w:rPr>
              <w:t>ky (resp. písemná potvrzení telefonických Objednávek ze strany Poskytovatele, byla-li Objednávka učiněna telefonicky), na jejichž základě byly provedeny fakturované Služby</w:t>
            </w:r>
            <w:r w:rsidR="001E53DB">
              <w:rPr>
                <w:rFonts w:asciiTheme="minorHAnsi" w:hAnsiTheme="minorHAnsi" w:cstheme="minorHAnsi"/>
              </w:rPr>
              <w:t xml:space="preserve"> (nejde-li o Objednávky ve formě pokynů dispečinku)</w:t>
            </w:r>
            <w:r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připomínky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bjednatele vznesené v rámci shora specifikované akceptační procedury</w:t>
            </w:r>
            <w:r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</w:tc>
      </w:tr>
      <w:tr w:rsidR="003300FD" w:rsidRPr="00A86F05" w14:paraId="7BD48436" w14:textId="77777777" w:rsidTr="00934F1A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23688574" w14:textId="77777777" w:rsidR="003300FD" w:rsidRPr="00A86F05" w:rsidRDefault="003300FD" w:rsidP="00A128E3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2" w:name="_Ref41575514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12"/>
          </w:p>
        </w:tc>
      </w:tr>
      <w:tr w:rsidR="003300FD" w:rsidRPr="00A86F05" w14:paraId="7EACC20D" w14:textId="77777777" w:rsidTr="00CD7A0A">
        <w:trPr>
          <w:trHeight w:val="4025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2E0F9FD" w14:textId="77777777" w:rsidR="003300FD" w:rsidRPr="00AF2799" w:rsidRDefault="003300FD" w:rsidP="00A128E3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3" w:name="_Ref415756773"/>
            <w:r w:rsidRPr="001B1523">
              <w:rPr>
                <w:rFonts w:asciiTheme="minorHAnsi" w:hAnsiTheme="minorHAnsi" w:cstheme="minorHAnsi"/>
              </w:rPr>
              <w:t xml:space="preserve">V rámci </w:t>
            </w:r>
            <w:r>
              <w:rPr>
                <w:rFonts w:asciiTheme="minorHAnsi" w:hAnsiTheme="minorHAnsi" w:cstheme="minorHAnsi"/>
              </w:rPr>
              <w:t xml:space="preserve">plnění </w:t>
            </w:r>
            <w:r w:rsidRPr="001B1523">
              <w:rPr>
                <w:rFonts w:asciiTheme="minorHAnsi" w:hAnsiTheme="minorHAnsi" w:cstheme="minorHAnsi"/>
              </w:rPr>
              <w:t xml:space="preserve">Služby </w:t>
            </w:r>
            <w:r>
              <w:rPr>
                <w:rFonts w:asciiTheme="minorHAnsi" w:hAnsiTheme="minorHAnsi" w:cstheme="minorHAnsi"/>
              </w:rPr>
              <w:t xml:space="preserve">Preventivní posyp je Poskytovatel povinen provést objednané Služby v čase </w:t>
            </w:r>
            <w:r w:rsidRPr="00AF2799">
              <w:rPr>
                <w:rFonts w:asciiTheme="minorHAnsi" w:hAnsiTheme="minorHAnsi" w:cstheme="minorHAnsi"/>
              </w:rPr>
              <w:t>určeném Objednávkou.</w:t>
            </w:r>
            <w:bookmarkEnd w:id="13"/>
          </w:p>
          <w:p w14:paraId="2BE327D1" w14:textId="77777777" w:rsidR="003300FD" w:rsidRPr="00AF2799" w:rsidRDefault="003300FD" w:rsidP="00A128E3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4" w:name="_Ref415756777"/>
            <w:r w:rsidRPr="001B353B">
              <w:rPr>
                <w:rFonts w:asciiTheme="minorHAnsi" w:hAnsiTheme="minorHAnsi" w:cstheme="minorHAnsi"/>
              </w:rPr>
              <w:t xml:space="preserve">V rámci plnění Služby Likvidační zásah s chemickým posypem je Poskytovatel povinen nastoupit k realizaci Služby do </w:t>
            </w:r>
            <w:r w:rsidR="00180A90" w:rsidRPr="001E572B">
              <w:rPr>
                <w:rFonts w:asciiTheme="minorHAnsi" w:hAnsiTheme="minorHAnsi" w:cstheme="minorHAnsi"/>
              </w:rPr>
              <w:t>15</w:t>
            </w:r>
            <w:r w:rsidRPr="00AF2799">
              <w:rPr>
                <w:rFonts w:asciiTheme="minorHAnsi" w:hAnsiTheme="minorHAnsi" w:cstheme="minorHAnsi"/>
              </w:rPr>
              <w:t xml:space="preserve"> minut od obdržení Objednávky a ukončit je ve lhůtě stanovené </w:t>
            </w:r>
            <w:r w:rsidR="00B12F2C">
              <w:rPr>
                <w:rFonts w:asciiTheme="minorHAnsi" w:hAnsiTheme="minorHAnsi" w:cstheme="minorHAnsi"/>
              </w:rPr>
              <w:t>OPPZÚS</w:t>
            </w:r>
            <w:r w:rsidRPr="00AF2799">
              <w:rPr>
                <w:rFonts w:asciiTheme="minorHAnsi" w:hAnsiTheme="minorHAnsi" w:cstheme="minorHAnsi"/>
              </w:rPr>
              <w:t>.</w:t>
            </w:r>
            <w:bookmarkEnd w:id="14"/>
          </w:p>
          <w:p w14:paraId="447B4CA6" w14:textId="77777777" w:rsidR="003300FD" w:rsidRPr="001B353B" w:rsidRDefault="003300FD" w:rsidP="00A128E3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5" w:name="_Ref415756778"/>
            <w:r w:rsidRPr="001B353B">
              <w:rPr>
                <w:rFonts w:asciiTheme="minorHAnsi" w:hAnsiTheme="minorHAnsi" w:cstheme="minorHAnsi"/>
              </w:rPr>
              <w:t xml:space="preserve">V rámci plnění Služby Likvidační zásah s  posypem inertním materiálem je Poskytovatel povinen nastoupit k realizaci Služby do </w:t>
            </w:r>
            <w:r w:rsidR="00180A90" w:rsidRPr="001E572B">
              <w:rPr>
                <w:rFonts w:asciiTheme="minorHAnsi" w:hAnsiTheme="minorHAnsi" w:cstheme="minorHAnsi"/>
              </w:rPr>
              <w:t>15</w:t>
            </w:r>
            <w:r w:rsidRPr="00AF2799">
              <w:rPr>
                <w:rFonts w:asciiTheme="minorHAnsi" w:hAnsiTheme="minorHAnsi" w:cstheme="minorHAnsi"/>
              </w:rPr>
              <w:t xml:space="preserve"> minut od obdržení Objednávky a ukončit je ve lhůtě stanovené </w:t>
            </w:r>
            <w:r w:rsidR="00B12F2C">
              <w:rPr>
                <w:rFonts w:asciiTheme="minorHAnsi" w:hAnsiTheme="minorHAnsi" w:cstheme="minorHAnsi"/>
              </w:rPr>
              <w:t>OPPZÚS</w:t>
            </w:r>
            <w:r w:rsidRPr="00AF2799">
              <w:rPr>
                <w:rFonts w:asciiTheme="minorHAnsi" w:hAnsiTheme="minorHAnsi" w:cstheme="minorHAnsi"/>
              </w:rPr>
              <w:t>.</w:t>
            </w:r>
            <w:bookmarkEnd w:id="15"/>
          </w:p>
          <w:p w14:paraId="49386055" w14:textId="77777777" w:rsidR="003300FD" w:rsidRPr="001B353B" w:rsidRDefault="003300FD" w:rsidP="00A128E3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6" w:name="_Ref415756780"/>
            <w:r w:rsidRPr="001B353B">
              <w:rPr>
                <w:rFonts w:asciiTheme="minorHAnsi" w:hAnsiTheme="minorHAnsi" w:cstheme="minorHAnsi"/>
              </w:rPr>
              <w:t xml:space="preserve">V rámci plnění Služby Pluhování je Poskytovatel povinen nastoupit k realizaci Služby do </w:t>
            </w:r>
            <w:r w:rsidR="00180A90" w:rsidRPr="001E572B">
              <w:rPr>
                <w:rFonts w:asciiTheme="minorHAnsi" w:hAnsiTheme="minorHAnsi" w:cstheme="minorHAnsi"/>
              </w:rPr>
              <w:t>1</w:t>
            </w:r>
            <w:r w:rsidR="00AF2799" w:rsidRPr="001E572B">
              <w:rPr>
                <w:rFonts w:asciiTheme="minorHAnsi" w:hAnsiTheme="minorHAnsi" w:cstheme="minorHAnsi"/>
              </w:rPr>
              <w:t>5</w:t>
            </w:r>
            <w:r w:rsidRPr="00AF2799">
              <w:rPr>
                <w:rFonts w:asciiTheme="minorHAnsi" w:hAnsiTheme="minorHAnsi" w:cstheme="minorHAnsi"/>
              </w:rPr>
              <w:t xml:space="preserve"> minut od obdržení Objednávky a ukončit je ve lhůtě stanovené </w:t>
            </w:r>
            <w:r w:rsidR="00B12F2C">
              <w:rPr>
                <w:rFonts w:asciiTheme="minorHAnsi" w:hAnsiTheme="minorHAnsi" w:cstheme="minorHAnsi"/>
              </w:rPr>
              <w:t>OPPZÚS</w:t>
            </w:r>
            <w:r w:rsidRPr="00AF2799">
              <w:rPr>
                <w:rFonts w:asciiTheme="minorHAnsi" w:hAnsiTheme="minorHAnsi" w:cstheme="minorHAnsi"/>
              </w:rPr>
              <w:t>.</w:t>
            </w:r>
            <w:bookmarkEnd w:id="16"/>
          </w:p>
          <w:p w14:paraId="12D48987" w14:textId="77777777" w:rsidR="003300FD" w:rsidRPr="00D153D9" w:rsidRDefault="001E53DB" w:rsidP="002D38DB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7" w:name="_Ref417566918"/>
            <w:r w:rsidRPr="001B353B">
              <w:rPr>
                <w:rFonts w:asciiTheme="minorHAnsi" w:hAnsiTheme="minorHAnsi" w:cstheme="minorHAnsi"/>
              </w:rPr>
              <w:t>Pro případ Služeb, poskytovaných na základě Objednávky ve formě pokynu dispečinku se odchylně od předchozích odstavců uplatní kvalitativní parametry Služby dle bod</w:t>
            </w:r>
            <w:r w:rsidR="007A5E0F" w:rsidRPr="001B353B">
              <w:rPr>
                <w:rFonts w:asciiTheme="minorHAnsi" w:hAnsiTheme="minorHAnsi" w:cstheme="minorHAnsi"/>
              </w:rPr>
              <w:t>ů 1. – 3. kapitoly F. Katalogového listu Zimní připravenost.</w:t>
            </w:r>
            <w:bookmarkEnd w:id="17"/>
          </w:p>
        </w:tc>
      </w:tr>
      <w:tr w:rsidR="003300FD" w:rsidRPr="00A86F05" w14:paraId="668DF016" w14:textId="77777777" w:rsidTr="00934F1A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49D6DE6" w14:textId="77777777" w:rsidR="003300FD" w:rsidRPr="00A86F05" w:rsidRDefault="003300FD" w:rsidP="00A128E3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3300FD" w:rsidRPr="00A86F05" w14:paraId="3DB1C037" w14:textId="77777777" w:rsidTr="00CD7A0A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406C88" w14:textId="77777777" w:rsidR="003300FD" w:rsidRPr="001B1523" w:rsidRDefault="003300FD" w:rsidP="00A128E3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1B1523">
              <w:rPr>
                <w:rFonts w:eastAsia="MS ??" w:cstheme="minorHAnsi"/>
              </w:rPr>
              <w:t>Objednateli náleží následující smluvní pokuty za porušení povinností při poskytování Služeb dle tohoto Katalogového listu:</w:t>
            </w:r>
          </w:p>
          <w:p w14:paraId="1DF8870F" w14:textId="77777777" w:rsidR="003300FD" w:rsidRPr="00DB5D63" w:rsidRDefault="003300FD" w:rsidP="003300FD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cstheme="minorHAnsi"/>
              </w:rPr>
            </w:pPr>
            <w:r w:rsidRPr="001B1523">
              <w:rPr>
                <w:rFonts w:asciiTheme="minorHAnsi" w:hAnsiTheme="minorHAnsi" w:cstheme="minorHAnsi"/>
              </w:rPr>
              <w:t xml:space="preserve">V případě nedodržení lhůt dle bodu </w:t>
            </w:r>
            <w:r w:rsidRPr="001B1523">
              <w:rPr>
                <w:rFonts w:asciiTheme="minorHAnsi" w:hAnsiTheme="minorHAnsi" w:cstheme="minorHAnsi"/>
              </w:rPr>
              <w:fldChar w:fldCharType="begin"/>
            </w:r>
            <w:r w:rsidRPr="001B1523">
              <w:rPr>
                <w:rFonts w:asciiTheme="minorHAnsi" w:hAnsiTheme="minorHAnsi" w:cstheme="minorHAnsi"/>
              </w:rPr>
              <w:instrText xml:space="preserve"> REF _Ref415756773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1B1523">
              <w:rPr>
                <w:rFonts w:asciiTheme="minorHAnsi" w:hAnsiTheme="minorHAnsi" w:cstheme="minorHAnsi"/>
              </w:rPr>
            </w:r>
            <w:r w:rsidRPr="001B1523">
              <w:rPr>
                <w:rFonts w:asciiTheme="minorHAnsi" w:hAnsiTheme="minorHAnsi" w:cstheme="minorHAnsi"/>
              </w:rPr>
              <w:fldChar w:fldCharType="separate"/>
            </w:r>
            <w:r w:rsidR="00FB37B4">
              <w:rPr>
                <w:rFonts w:asciiTheme="minorHAnsi" w:hAnsiTheme="minorHAnsi" w:cstheme="minorHAnsi"/>
              </w:rPr>
              <w:t>1</w:t>
            </w:r>
            <w:r w:rsidRPr="001B1523">
              <w:rPr>
                <w:rFonts w:asciiTheme="minorHAnsi" w:hAnsiTheme="minorHAnsi" w:cstheme="minorHAnsi"/>
              </w:rPr>
              <w:fldChar w:fldCharType="end"/>
            </w:r>
            <w:r w:rsidRPr="001B1523">
              <w:rPr>
                <w:rFonts w:asciiTheme="minorHAnsi" w:hAnsiTheme="minorHAnsi" w:cstheme="minorHAnsi"/>
              </w:rPr>
              <w:t xml:space="preserve">., </w:t>
            </w:r>
            <w:r w:rsidRPr="001B1523">
              <w:rPr>
                <w:rFonts w:asciiTheme="minorHAnsi" w:hAnsiTheme="minorHAnsi" w:cstheme="minorHAnsi"/>
              </w:rPr>
              <w:fldChar w:fldCharType="begin"/>
            </w:r>
            <w:r w:rsidRPr="001B1523">
              <w:rPr>
                <w:rFonts w:asciiTheme="minorHAnsi" w:hAnsiTheme="minorHAnsi" w:cstheme="minorHAnsi"/>
              </w:rPr>
              <w:instrText xml:space="preserve"> REF _Ref415756777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1B1523">
              <w:rPr>
                <w:rFonts w:asciiTheme="minorHAnsi" w:hAnsiTheme="minorHAnsi" w:cstheme="minorHAnsi"/>
              </w:rPr>
            </w:r>
            <w:r w:rsidRPr="001B1523">
              <w:rPr>
                <w:rFonts w:asciiTheme="minorHAnsi" w:hAnsiTheme="minorHAnsi" w:cstheme="minorHAnsi"/>
              </w:rPr>
              <w:fldChar w:fldCharType="separate"/>
            </w:r>
            <w:r w:rsidR="00FB37B4">
              <w:rPr>
                <w:rFonts w:asciiTheme="minorHAnsi" w:hAnsiTheme="minorHAnsi" w:cstheme="minorHAnsi"/>
              </w:rPr>
              <w:t>2</w:t>
            </w:r>
            <w:r w:rsidRPr="001B1523">
              <w:rPr>
                <w:rFonts w:asciiTheme="minorHAnsi" w:hAnsiTheme="minorHAnsi" w:cstheme="minorHAnsi"/>
              </w:rPr>
              <w:fldChar w:fldCharType="end"/>
            </w:r>
            <w:r w:rsidRPr="001B1523">
              <w:rPr>
                <w:rFonts w:asciiTheme="minorHAnsi" w:hAnsiTheme="minorHAnsi" w:cstheme="minorHAnsi"/>
              </w:rPr>
              <w:t xml:space="preserve">., </w:t>
            </w:r>
            <w:r w:rsidRPr="001B1523">
              <w:rPr>
                <w:rFonts w:asciiTheme="minorHAnsi" w:hAnsiTheme="minorHAnsi" w:cstheme="minorHAnsi"/>
              </w:rPr>
              <w:fldChar w:fldCharType="begin"/>
            </w:r>
            <w:r w:rsidRPr="001B1523">
              <w:rPr>
                <w:rFonts w:asciiTheme="minorHAnsi" w:hAnsiTheme="minorHAnsi" w:cstheme="minorHAnsi"/>
              </w:rPr>
              <w:instrText xml:space="preserve"> REF _Ref415756778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1B1523">
              <w:rPr>
                <w:rFonts w:asciiTheme="minorHAnsi" w:hAnsiTheme="minorHAnsi" w:cstheme="minorHAnsi"/>
              </w:rPr>
            </w:r>
            <w:r w:rsidRPr="001B1523">
              <w:rPr>
                <w:rFonts w:asciiTheme="minorHAnsi" w:hAnsiTheme="minorHAnsi" w:cstheme="minorHAnsi"/>
              </w:rPr>
              <w:fldChar w:fldCharType="separate"/>
            </w:r>
            <w:r w:rsidR="00FB37B4">
              <w:rPr>
                <w:rFonts w:asciiTheme="minorHAnsi" w:hAnsiTheme="minorHAnsi" w:cstheme="minorHAnsi"/>
              </w:rPr>
              <w:t>3</w:t>
            </w:r>
            <w:r w:rsidRPr="001B1523">
              <w:rPr>
                <w:rFonts w:asciiTheme="minorHAnsi" w:hAnsiTheme="minorHAnsi" w:cstheme="minorHAnsi"/>
              </w:rPr>
              <w:fldChar w:fldCharType="end"/>
            </w:r>
            <w:r w:rsidRPr="001B1523">
              <w:rPr>
                <w:rFonts w:asciiTheme="minorHAnsi" w:hAnsiTheme="minorHAnsi" w:cstheme="minorHAnsi"/>
              </w:rPr>
              <w:t xml:space="preserve">., </w:t>
            </w:r>
            <w:r w:rsidRPr="001B1523">
              <w:rPr>
                <w:rFonts w:asciiTheme="minorHAnsi" w:hAnsiTheme="minorHAnsi" w:cstheme="minorHAnsi"/>
              </w:rPr>
              <w:fldChar w:fldCharType="begin"/>
            </w:r>
            <w:r w:rsidRPr="001B1523">
              <w:rPr>
                <w:rFonts w:asciiTheme="minorHAnsi" w:hAnsiTheme="minorHAnsi" w:cstheme="minorHAnsi"/>
              </w:rPr>
              <w:instrText xml:space="preserve"> REF _Ref415756780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1B1523">
              <w:rPr>
                <w:rFonts w:asciiTheme="minorHAnsi" w:hAnsiTheme="minorHAnsi" w:cstheme="minorHAnsi"/>
              </w:rPr>
            </w:r>
            <w:r w:rsidRPr="001B1523">
              <w:rPr>
                <w:rFonts w:asciiTheme="minorHAnsi" w:hAnsiTheme="minorHAnsi" w:cstheme="minorHAnsi"/>
              </w:rPr>
              <w:fldChar w:fldCharType="separate"/>
            </w:r>
            <w:r w:rsidR="00FB37B4">
              <w:rPr>
                <w:rFonts w:asciiTheme="minorHAnsi" w:hAnsiTheme="minorHAnsi" w:cstheme="minorHAnsi"/>
              </w:rPr>
              <w:t>4</w:t>
            </w:r>
            <w:r w:rsidRPr="001B1523">
              <w:rPr>
                <w:rFonts w:asciiTheme="minorHAnsi" w:hAnsiTheme="minorHAnsi" w:cstheme="minorHAnsi"/>
              </w:rPr>
              <w:fldChar w:fldCharType="end"/>
            </w:r>
            <w:r w:rsidRPr="001B1523">
              <w:rPr>
                <w:rFonts w:asciiTheme="minorHAnsi" w:hAnsiTheme="minorHAnsi" w:cstheme="minorHAnsi"/>
              </w:rPr>
              <w:t xml:space="preserve">. nebo </w:t>
            </w:r>
            <w:r w:rsidR="00FB37B4">
              <w:rPr>
                <w:rFonts w:asciiTheme="minorHAnsi" w:hAnsiTheme="minorHAnsi" w:cstheme="minorHAnsi"/>
              </w:rPr>
              <w:t>5.</w:t>
            </w:r>
            <w:r w:rsidRPr="001B1523">
              <w:rPr>
                <w:rFonts w:asciiTheme="minorHAnsi" w:hAnsiTheme="minorHAnsi" w:cstheme="minorHAnsi"/>
              </w:rPr>
              <w:t xml:space="preserve">. kapitoly </w:t>
            </w:r>
            <w:r w:rsidRPr="001B1523">
              <w:rPr>
                <w:rFonts w:asciiTheme="minorHAnsi" w:hAnsiTheme="minorHAnsi" w:cstheme="minorHAnsi"/>
              </w:rPr>
              <w:fldChar w:fldCharType="begin"/>
            </w:r>
            <w:r w:rsidRPr="001B1523">
              <w:rPr>
                <w:rFonts w:asciiTheme="minorHAnsi" w:hAnsiTheme="minorHAnsi" w:cstheme="minorHAnsi"/>
              </w:rPr>
              <w:instrText xml:space="preserve"> REF _Ref415755143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1B1523">
              <w:rPr>
                <w:rFonts w:asciiTheme="minorHAnsi" w:hAnsiTheme="minorHAnsi" w:cstheme="minorHAnsi"/>
              </w:rPr>
            </w:r>
            <w:r w:rsidRPr="001B1523">
              <w:rPr>
                <w:rFonts w:asciiTheme="minorHAnsi" w:hAnsiTheme="minorHAnsi" w:cstheme="minorHAnsi"/>
              </w:rPr>
              <w:fldChar w:fldCharType="separate"/>
            </w:r>
            <w:r w:rsidR="00FB37B4">
              <w:rPr>
                <w:rFonts w:asciiTheme="minorHAnsi" w:hAnsiTheme="minorHAnsi" w:cstheme="minorHAnsi"/>
              </w:rPr>
              <w:t>F</w:t>
            </w:r>
            <w:r w:rsidRPr="001B1523">
              <w:rPr>
                <w:rFonts w:asciiTheme="minorHAnsi" w:hAnsiTheme="minorHAnsi" w:cstheme="minorHAnsi"/>
              </w:rPr>
              <w:fldChar w:fldCharType="end"/>
            </w:r>
            <w:r w:rsidRPr="001B1523">
              <w:rPr>
                <w:rFonts w:asciiTheme="minorHAnsi" w:hAnsiTheme="minorHAnsi" w:cstheme="minorHAnsi"/>
              </w:rPr>
              <w:t xml:space="preserve"> tohoto Katalogového listu stanovených v hodinách smluvní pokuta v částce </w:t>
            </w:r>
            <w:r w:rsidR="00AF2799">
              <w:rPr>
                <w:rFonts w:asciiTheme="minorHAnsi" w:hAnsiTheme="minorHAnsi" w:cstheme="minorHAnsi"/>
              </w:rPr>
              <w:t>10.000</w:t>
            </w:r>
            <w:r w:rsidRPr="001B1523">
              <w:rPr>
                <w:rFonts w:asciiTheme="minorHAnsi" w:hAnsiTheme="minorHAnsi" w:cstheme="minorHAnsi"/>
              </w:rPr>
              <w:t xml:space="preserve"> Kč za každou hodinu prodlení do splnění příslušné povinnosti.</w:t>
            </w:r>
          </w:p>
          <w:p w14:paraId="62621E11" w14:textId="77777777" w:rsidR="003300FD" w:rsidRPr="00DB5D63" w:rsidRDefault="003300FD" w:rsidP="003300FD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cstheme="minorHAnsi"/>
              </w:rPr>
            </w:pPr>
            <w:r w:rsidRPr="001B1523">
              <w:rPr>
                <w:rFonts w:asciiTheme="minorHAnsi" w:hAnsiTheme="minorHAnsi" w:cstheme="minorHAnsi"/>
              </w:rPr>
              <w:t xml:space="preserve">V případě nedodržení povinnosti vybavit všechna vozidla, jejichž prostřednictvím se Poskytovatel podílí na službách dle tohoto Katalogového listu, moduly dle bodu </w:t>
            </w:r>
            <w:r w:rsidR="00FB37B4">
              <w:rPr>
                <w:rFonts w:asciiTheme="minorHAnsi" w:hAnsiTheme="minorHAnsi" w:cstheme="minorHAnsi"/>
              </w:rPr>
              <w:t>6</w:t>
            </w:r>
            <w:r w:rsidRPr="001B1523">
              <w:rPr>
                <w:rFonts w:asciiTheme="minorHAnsi" w:hAnsiTheme="minorHAnsi" w:cstheme="minorHAnsi"/>
              </w:rPr>
              <w:t xml:space="preserve">. kapitoly </w:t>
            </w:r>
            <w:r w:rsidR="00FB37B4">
              <w:rPr>
                <w:rFonts w:asciiTheme="minorHAnsi" w:hAnsiTheme="minorHAnsi" w:cstheme="minorHAnsi"/>
              </w:rPr>
              <w:t>D</w:t>
            </w:r>
            <w:r w:rsidRPr="001B1523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AF2799">
              <w:rPr>
                <w:rFonts w:asciiTheme="minorHAnsi" w:hAnsiTheme="minorHAnsi" w:cstheme="minorHAnsi"/>
              </w:rPr>
              <w:t>5.000</w:t>
            </w:r>
            <w:r w:rsidRPr="001B1523">
              <w:rPr>
                <w:rFonts w:asciiTheme="minorHAnsi" w:hAnsiTheme="minorHAnsi" w:cstheme="minorHAnsi"/>
              </w:rPr>
              <w:t xml:space="preserve"> Kč za každý kalendářní den v rámci zimního období, v němž tento stav existoval.</w:t>
            </w:r>
          </w:p>
          <w:p w14:paraId="69286749" w14:textId="77777777" w:rsidR="003300FD" w:rsidRPr="00DB5D63" w:rsidRDefault="003300FD" w:rsidP="003300FD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cstheme="minorHAnsi"/>
              </w:rPr>
            </w:pPr>
            <w:r w:rsidRPr="001B1523">
              <w:rPr>
                <w:rFonts w:asciiTheme="minorHAnsi" w:hAnsiTheme="minorHAnsi" w:cstheme="minorHAnsi"/>
              </w:rPr>
              <w:t xml:space="preserve">V případě jakéhokoli chybějícího záznamu z modulu GPS dle bodu </w:t>
            </w:r>
            <w:r w:rsidR="00FB37B4">
              <w:rPr>
                <w:rFonts w:asciiTheme="minorHAnsi" w:hAnsiTheme="minorHAnsi" w:cstheme="minorHAnsi"/>
              </w:rPr>
              <w:t>7</w:t>
            </w:r>
            <w:r w:rsidR="00240EC1" w:rsidRPr="001B1523">
              <w:rPr>
                <w:rFonts w:asciiTheme="minorHAnsi" w:hAnsiTheme="minorHAnsi" w:cstheme="minorHAnsi"/>
              </w:rPr>
              <w:t>.</w:t>
            </w:r>
            <w:r w:rsidR="0034502F">
              <w:rPr>
                <w:rFonts w:asciiTheme="minorHAnsi" w:hAnsiTheme="minorHAnsi" w:cstheme="minorHAnsi"/>
              </w:rPr>
              <w:t xml:space="preserve"> </w:t>
            </w:r>
            <w:r w:rsidRPr="001B1523">
              <w:rPr>
                <w:rFonts w:asciiTheme="minorHAnsi" w:hAnsiTheme="minorHAnsi" w:cstheme="minorHAnsi"/>
              </w:rPr>
              <w:t xml:space="preserve">kapitoly </w:t>
            </w:r>
            <w:r w:rsidR="00FB37B4">
              <w:rPr>
                <w:rFonts w:asciiTheme="minorHAnsi" w:hAnsiTheme="minorHAnsi" w:cstheme="minorHAnsi"/>
              </w:rPr>
              <w:t>D</w:t>
            </w:r>
            <w:r w:rsidRPr="001B1523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AF2799">
              <w:rPr>
                <w:rFonts w:asciiTheme="minorHAnsi" w:hAnsiTheme="minorHAnsi" w:cstheme="minorHAnsi"/>
              </w:rPr>
              <w:t>5.000</w:t>
            </w:r>
            <w:r w:rsidRPr="001B1523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  <w:p w14:paraId="4E0F580D" w14:textId="77777777" w:rsidR="003300FD" w:rsidRPr="00AD707C" w:rsidRDefault="003300FD" w:rsidP="00AF2799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cstheme="minorHAnsi"/>
              </w:rPr>
            </w:pPr>
            <w:r w:rsidRPr="00DF6B9C">
              <w:rPr>
                <w:rFonts w:asciiTheme="minorHAnsi" w:hAnsiTheme="minorHAnsi" w:cstheme="minorHAnsi"/>
              </w:rPr>
              <w:t xml:space="preserve">V případě porušení jakékoli jiné povinnosti vyplývající pro Poskytovatele z tohoto Katalogového listu pokuta v částce </w:t>
            </w:r>
            <w:r w:rsidR="00AF2799">
              <w:rPr>
                <w:rFonts w:asciiTheme="minorHAnsi" w:hAnsiTheme="minorHAnsi" w:cstheme="minorHAnsi"/>
              </w:rPr>
              <w:t xml:space="preserve">10.000 </w:t>
            </w:r>
            <w:r w:rsidRPr="00DF6B9C">
              <w:rPr>
                <w:rFonts w:asciiTheme="minorHAnsi" w:hAnsiTheme="minorHAnsi" w:cstheme="minorHAnsi"/>
              </w:rPr>
              <w:t>Kč za každý jednotlivý případ takového porušení.</w:t>
            </w:r>
          </w:p>
        </w:tc>
      </w:tr>
      <w:tr w:rsidR="003300FD" w:rsidRPr="00A86F05" w14:paraId="00023448" w14:textId="77777777" w:rsidTr="00934F1A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727E17C" w14:textId="77777777" w:rsidR="003300FD" w:rsidRPr="00A86F05" w:rsidRDefault="003300FD" w:rsidP="00A128E3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3300FD" w:rsidRPr="00A86F05" w14:paraId="2014796D" w14:textId="77777777" w:rsidTr="00CD7A0A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F9C66A6" w14:textId="77777777" w:rsidR="003300FD" w:rsidRPr="00AD707C" w:rsidRDefault="003300FD" w:rsidP="003300FD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D707C">
              <w:rPr>
                <w:rFonts w:asciiTheme="minorHAnsi" w:hAnsiTheme="minorHAnsi" w:cstheme="minorHAnsi"/>
              </w:rPr>
              <w:t>Zákon č. 13/1997 Sb., o pozemních komunikacích, ve znění pozdějších předpisů</w:t>
            </w:r>
            <w:r w:rsidRPr="00DF6B9C">
              <w:rPr>
                <w:rFonts w:asciiTheme="minorHAnsi" w:hAnsiTheme="minorHAnsi" w:cstheme="minorHAnsi"/>
              </w:rPr>
              <w:t>;</w:t>
            </w:r>
          </w:p>
          <w:p w14:paraId="5E1AECDC" w14:textId="77777777" w:rsidR="003300FD" w:rsidRPr="003B76BA" w:rsidRDefault="003300FD" w:rsidP="003300FD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  <w:b/>
                <w:caps/>
              </w:rPr>
            </w:pPr>
            <w:r w:rsidRPr="00AD707C">
              <w:rPr>
                <w:rFonts w:asciiTheme="minorHAnsi" w:hAnsiTheme="minorHAnsi" w:cstheme="minorHAnsi"/>
              </w:rPr>
              <w:t>Vyhláška Ministerstva dopravy a spojů č. 104/1997 Sb., kterou se provádí zákon o pozemních komunikacích, ve znění pozdějších předpisů</w:t>
            </w:r>
            <w:r w:rsidR="003B76BA">
              <w:rPr>
                <w:rFonts w:asciiTheme="minorHAnsi" w:hAnsiTheme="minorHAnsi" w:cstheme="minorHAnsi"/>
              </w:rPr>
              <w:t>;</w:t>
            </w:r>
          </w:p>
          <w:p w14:paraId="49FD939B" w14:textId="77777777" w:rsidR="009F17FA" w:rsidRPr="00DF6B9C" w:rsidDel="00E34BE5" w:rsidRDefault="009F17FA" w:rsidP="003300FD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  <w:b/>
                <w:caps/>
              </w:rPr>
            </w:pPr>
            <w:r w:rsidRPr="00500761">
              <w:rPr>
                <w:rFonts w:asciiTheme="minorHAnsi" w:hAnsiTheme="minorHAnsi" w:cstheme="minorHAnsi"/>
              </w:rPr>
              <w:t>Nařízení Statutárního města Ústí nad Labem č.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00761">
              <w:rPr>
                <w:rFonts w:asciiTheme="minorHAnsi" w:hAnsiTheme="minorHAnsi" w:cstheme="minorHAnsi"/>
              </w:rPr>
              <w:t>1/2009, případně kterákoli novelizace (ve formálním i materiálním smyslu) tohoto nařízení, pokud k ní za dobu účinnosti Smlouvy dojde.</w:t>
            </w:r>
          </w:p>
        </w:tc>
      </w:tr>
      <w:tr w:rsidR="003300FD" w:rsidRPr="00A86F05" w14:paraId="5BDAC839" w14:textId="77777777" w:rsidTr="00934F1A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C831573" w14:textId="77777777" w:rsidR="003300FD" w:rsidRPr="00A86F05" w:rsidRDefault="003300FD" w:rsidP="00A128E3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MÍSTO PLNĚNÍ</w:t>
            </w:r>
          </w:p>
        </w:tc>
      </w:tr>
      <w:tr w:rsidR="003300FD" w:rsidRPr="00A86F05" w14:paraId="7DE5C93B" w14:textId="77777777" w:rsidTr="00CD7A0A">
        <w:tblPrEx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3401EAD" w14:textId="77777777" w:rsidR="003300FD" w:rsidRPr="00A86F05" w:rsidRDefault="003300FD" w:rsidP="00A128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Místní komunikace v majetku Objednatele dle OPPZÚ</w:t>
            </w:r>
            <w:r w:rsidR="00240EC1">
              <w:rPr>
                <w:rFonts w:eastAsia="Times New Roman" w:cstheme="minorHAnsi"/>
                <w:b/>
                <w:bCs/>
                <w:sz w:val="20"/>
                <w:szCs w:val="20"/>
              </w:rPr>
              <w:t>S</w:t>
            </w:r>
          </w:p>
        </w:tc>
      </w:tr>
    </w:tbl>
    <w:p w14:paraId="7365DC55" w14:textId="77777777" w:rsidR="004F396A" w:rsidRPr="00A86F05" w:rsidRDefault="004F396A">
      <w:pPr>
        <w:rPr>
          <w:rFonts w:cstheme="minorHAnsi"/>
        </w:rPr>
      </w:pPr>
    </w:p>
    <w:p w14:paraId="25C2AB7B" w14:textId="77777777" w:rsidR="002F05CB" w:rsidRPr="00A86F05" w:rsidRDefault="002F05CB">
      <w:pPr>
        <w:rPr>
          <w:rFonts w:cstheme="minorHAnsi"/>
        </w:rPr>
      </w:pPr>
    </w:p>
    <w:sectPr w:rsidR="002F05CB" w:rsidRPr="00A86F05" w:rsidSect="004F39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8117" w14:textId="77777777" w:rsidR="009C5806" w:rsidRDefault="009C5806" w:rsidP="00D567AC">
      <w:pPr>
        <w:spacing w:after="0" w:line="240" w:lineRule="auto"/>
      </w:pPr>
      <w:r>
        <w:separator/>
      </w:r>
    </w:p>
  </w:endnote>
  <w:endnote w:type="continuationSeparator" w:id="0">
    <w:p w14:paraId="13DB7834" w14:textId="77777777" w:rsidR="009C5806" w:rsidRDefault="009C5806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F9CE2" w14:textId="77777777" w:rsidR="003168FF" w:rsidRDefault="003168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62A8" w14:textId="77777777" w:rsidR="003168FF" w:rsidRDefault="003168F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F5663" w14:textId="77777777" w:rsidR="003168FF" w:rsidRDefault="003168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D0DB" w14:textId="77777777" w:rsidR="009C5806" w:rsidRDefault="009C5806" w:rsidP="00D567AC">
      <w:pPr>
        <w:spacing w:after="0" w:line="240" w:lineRule="auto"/>
      </w:pPr>
      <w:r>
        <w:separator/>
      </w:r>
    </w:p>
  </w:footnote>
  <w:footnote w:type="continuationSeparator" w:id="0">
    <w:p w14:paraId="4E256A93" w14:textId="77777777" w:rsidR="009C5806" w:rsidRDefault="009C5806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CD0F2" w14:textId="77777777" w:rsidR="003168FF" w:rsidRDefault="003168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8058B" w14:textId="77777777" w:rsidR="003168FF" w:rsidRDefault="003168F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A9F12" w14:textId="77777777" w:rsidR="003168FF" w:rsidRDefault="003168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183.75pt;height:139.5pt" o:bullet="t">
        <v:imagedata r:id="rId1" o:title="odrazka"/>
      </v:shape>
    </w:pict>
  </w:numPicBullet>
  <w:abstractNum w:abstractNumId="0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A27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B656D"/>
    <w:multiLevelType w:val="hybridMultilevel"/>
    <w:tmpl w:val="C4DA7BD6"/>
    <w:lvl w:ilvl="0" w:tplc="2AA692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D4CE6"/>
    <w:multiLevelType w:val="multilevel"/>
    <w:tmpl w:val="66704B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6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E006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534A3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1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82390943">
    <w:abstractNumId w:val="20"/>
  </w:num>
  <w:num w:numId="2" w16cid:durableId="1601336238">
    <w:abstractNumId w:val="12"/>
  </w:num>
  <w:num w:numId="3" w16cid:durableId="697513543">
    <w:abstractNumId w:val="12"/>
  </w:num>
  <w:num w:numId="4" w16cid:durableId="1294673280">
    <w:abstractNumId w:val="12"/>
  </w:num>
  <w:num w:numId="5" w16cid:durableId="1786852856">
    <w:abstractNumId w:val="15"/>
  </w:num>
  <w:num w:numId="6" w16cid:durableId="1117334963">
    <w:abstractNumId w:val="0"/>
  </w:num>
  <w:num w:numId="7" w16cid:durableId="347028649">
    <w:abstractNumId w:val="18"/>
  </w:num>
  <w:num w:numId="8" w16cid:durableId="1581214983">
    <w:abstractNumId w:val="9"/>
  </w:num>
  <w:num w:numId="9" w16cid:durableId="1570769251">
    <w:abstractNumId w:val="7"/>
  </w:num>
  <w:num w:numId="10" w16cid:durableId="1808425541">
    <w:abstractNumId w:val="13"/>
  </w:num>
  <w:num w:numId="11" w16cid:durableId="694816271">
    <w:abstractNumId w:val="6"/>
  </w:num>
  <w:num w:numId="12" w16cid:durableId="360861138">
    <w:abstractNumId w:val="16"/>
  </w:num>
  <w:num w:numId="13" w16cid:durableId="732117948">
    <w:abstractNumId w:val="1"/>
  </w:num>
  <w:num w:numId="14" w16cid:durableId="61829075">
    <w:abstractNumId w:val="3"/>
  </w:num>
  <w:num w:numId="15" w16cid:durableId="1520579664">
    <w:abstractNumId w:val="10"/>
  </w:num>
  <w:num w:numId="16" w16cid:durableId="1429430317">
    <w:abstractNumId w:val="4"/>
  </w:num>
  <w:num w:numId="17" w16cid:durableId="1967807478">
    <w:abstractNumId w:val="2"/>
  </w:num>
  <w:num w:numId="18" w16cid:durableId="469440752">
    <w:abstractNumId w:val="8"/>
  </w:num>
  <w:num w:numId="19" w16cid:durableId="832910605">
    <w:abstractNumId w:val="11"/>
  </w:num>
  <w:num w:numId="20" w16cid:durableId="1795556538">
    <w:abstractNumId w:val="17"/>
  </w:num>
  <w:num w:numId="21" w16cid:durableId="1939097825">
    <w:abstractNumId w:val="14"/>
  </w:num>
  <w:num w:numId="22" w16cid:durableId="1412310963">
    <w:abstractNumId w:val="21"/>
  </w:num>
  <w:num w:numId="23" w16cid:durableId="1819178019">
    <w:abstractNumId w:val="19"/>
  </w:num>
  <w:num w:numId="24" w16cid:durableId="11973055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41363"/>
    <w:rsid w:val="00044631"/>
    <w:rsid w:val="000454C1"/>
    <w:rsid w:val="000665BF"/>
    <w:rsid w:val="00071F2C"/>
    <w:rsid w:val="000A56B9"/>
    <w:rsid w:val="000A7360"/>
    <w:rsid w:val="000B66D0"/>
    <w:rsid w:val="000C09C3"/>
    <w:rsid w:val="000C5BC0"/>
    <w:rsid w:val="000E7D58"/>
    <w:rsid w:val="00100E77"/>
    <w:rsid w:val="00103FC4"/>
    <w:rsid w:val="00124BA9"/>
    <w:rsid w:val="00126E1F"/>
    <w:rsid w:val="00132B6B"/>
    <w:rsid w:val="00151478"/>
    <w:rsid w:val="00157D5D"/>
    <w:rsid w:val="00167168"/>
    <w:rsid w:val="00171338"/>
    <w:rsid w:val="00172C90"/>
    <w:rsid w:val="00180A90"/>
    <w:rsid w:val="0019644E"/>
    <w:rsid w:val="00196925"/>
    <w:rsid w:val="00197101"/>
    <w:rsid w:val="001977E8"/>
    <w:rsid w:val="001A194A"/>
    <w:rsid w:val="001B353B"/>
    <w:rsid w:val="001B4140"/>
    <w:rsid w:val="001E53DB"/>
    <w:rsid w:val="001E572B"/>
    <w:rsid w:val="001F2EDE"/>
    <w:rsid w:val="00221006"/>
    <w:rsid w:val="00225A26"/>
    <w:rsid w:val="00226F0D"/>
    <w:rsid w:val="00236EB7"/>
    <w:rsid w:val="00237DB5"/>
    <w:rsid w:val="00240EC1"/>
    <w:rsid w:val="00253A7B"/>
    <w:rsid w:val="00256E26"/>
    <w:rsid w:val="002802E6"/>
    <w:rsid w:val="002C3F04"/>
    <w:rsid w:val="002D38DB"/>
    <w:rsid w:val="002F05CB"/>
    <w:rsid w:val="002F7B41"/>
    <w:rsid w:val="00305776"/>
    <w:rsid w:val="00307CDC"/>
    <w:rsid w:val="003168FF"/>
    <w:rsid w:val="00321388"/>
    <w:rsid w:val="003300FD"/>
    <w:rsid w:val="0034502F"/>
    <w:rsid w:val="00361690"/>
    <w:rsid w:val="0037690D"/>
    <w:rsid w:val="003A43EB"/>
    <w:rsid w:val="003B76BA"/>
    <w:rsid w:val="003D3081"/>
    <w:rsid w:val="003F41E8"/>
    <w:rsid w:val="003F73E4"/>
    <w:rsid w:val="00476852"/>
    <w:rsid w:val="00490D09"/>
    <w:rsid w:val="004B7623"/>
    <w:rsid w:val="004B7F7F"/>
    <w:rsid w:val="004D0015"/>
    <w:rsid w:val="004D4B49"/>
    <w:rsid w:val="004F184F"/>
    <w:rsid w:val="004F396A"/>
    <w:rsid w:val="00522A82"/>
    <w:rsid w:val="005232BF"/>
    <w:rsid w:val="005255E2"/>
    <w:rsid w:val="00533B63"/>
    <w:rsid w:val="00554D65"/>
    <w:rsid w:val="005627ED"/>
    <w:rsid w:val="005738EA"/>
    <w:rsid w:val="00575923"/>
    <w:rsid w:val="005772C0"/>
    <w:rsid w:val="00581D9F"/>
    <w:rsid w:val="005843C5"/>
    <w:rsid w:val="00590021"/>
    <w:rsid w:val="00605DD2"/>
    <w:rsid w:val="00634B13"/>
    <w:rsid w:val="00674F97"/>
    <w:rsid w:val="00691D02"/>
    <w:rsid w:val="0069688F"/>
    <w:rsid w:val="006B60FC"/>
    <w:rsid w:val="006D11F3"/>
    <w:rsid w:val="006E2821"/>
    <w:rsid w:val="00701711"/>
    <w:rsid w:val="00706D8C"/>
    <w:rsid w:val="007201F3"/>
    <w:rsid w:val="0073163C"/>
    <w:rsid w:val="00737CF5"/>
    <w:rsid w:val="0075373F"/>
    <w:rsid w:val="00760F32"/>
    <w:rsid w:val="00781F81"/>
    <w:rsid w:val="007A1D51"/>
    <w:rsid w:val="007A5E0F"/>
    <w:rsid w:val="007F4282"/>
    <w:rsid w:val="00802E99"/>
    <w:rsid w:val="00817574"/>
    <w:rsid w:val="0082373D"/>
    <w:rsid w:val="00823FBA"/>
    <w:rsid w:val="0083026F"/>
    <w:rsid w:val="008441E4"/>
    <w:rsid w:val="00851778"/>
    <w:rsid w:val="00855957"/>
    <w:rsid w:val="00877F00"/>
    <w:rsid w:val="00880B16"/>
    <w:rsid w:val="00896FB1"/>
    <w:rsid w:val="008A37DA"/>
    <w:rsid w:val="008A7435"/>
    <w:rsid w:val="008C3BE4"/>
    <w:rsid w:val="008C713E"/>
    <w:rsid w:val="008F2089"/>
    <w:rsid w:val="00903FDB"/>
    <w:rsid w:val="00915F12"/>
    <w:rsid w:val="00934BC0"/>
    <w:rsid w:val="00934F1A"/>
    <w:rsid w:val="00963E3F"/>
    <w:rsid w:val="009666CC"/>
    <w:rsid w:val="00991360"/>
    <w:rsid w:val="009A0FCF"/>
    <w:rsid w:val="009B3485"/>
    <w:rsid w:val="009B66AF"/>
    <w:rsid w:val="009C5806"/>
    <w:rsid w:val="009E3168"/>
    <w:rsid w:val="009E341C"/>
    <w:rsid w:val="009F17FA"/>
    <w:rsid w:val="00A4275B"/>
    <w:rsid w:val="00A51C1F"/>
    <w:rsid w:val="00A63665"/>
    <w:rsid w:val="00A65638"/>
    <w:rsid w:val="00A67533"/>
    <w:rsid w:val="00A77F24"/>
    <w:rsid w:val="00A86F05"/>
    <w:rsid w:val="00AD6C06"/>
    <w:rsid w:val="00AE5060"/>
    <w:rsid w:val="00AE5D96"/>
    <w:rsid w:val="00AF1E6F"/>
    <w:rsid w:val="00AF2799"/>
    <w:rsid w:val="00B12F04"/>
    <w:rsid w:val="00B12F2C"/>
    <w:rsid w:val="00B23693"/>
    <w:rsid w:val="00B246E2"/>
    <w:rsid w:val="00B3466C"/>
    <w:rsid w:val="00B42C94"/>
    <w:rsid w:val="00B449B6"/>
    <w:rsid w:val="00B4775D"/>
    <w:rsid w:val="00B526C7"/>
    <w:rsid w:val="00B5436C"/>
    <w:rsid w:val="00BA1DC4"/>
    <w:rsid w:val="00BD0509"/>
    <w:rsid w:val="00BD0CBB"/>
    <w:rsid w:val="00BD4E55"/>
    <w:rsid w:val="00C20968"/>
    <w:rsid w:val="00C412E9"/>
    <w:rsid w:val="00C52CFC"/>
    <w:rsid w:val="00C6392D"/>
    <w:rsid w:val="00C818CA"/>
    <w:rsid w:val="00C84A01"/>
    <w:rsid w:val="00C92700"/>
    <w:rsid w:val="00C978B6"/>
    <w:rsid w:val="00CA15B8"/>
    <w:rsid w:val="00CD7A0A"/>
    <w:rsid w:val="00CE0623"/>
    <w:rsid w:val="00D26692"/>
    <w:rsid w:val="00D567AC"/>
    <w:rsid w:val="00D665B5"/>
    <w:rsid w:val="00D7274C"/>
    <w:rsid w:val="00D9014E"/>
    <w:rsid w:val="00DB2A77"/>
    <w:rsid w:val="00DB6CED"/>
    <w:rsid w:val="00E00B5C"/>
    <w:rsid w:val="00E04A97"/>
    <w:rsid w:val="00E10E56"/>
    <w:rsid w:val="00E34BE5"/>
    <w:rsid w:val="00E44426"/>
    <w:rsid w:val="00E653B2"/>
    <w:rsid w:val="00E82F78"/>
    <w:rsid w:val="00EA67DE"/>
    <w:rsid w:val="00EE4DA9"/>
    <w:rsid w:val="00EE544F"/>
    <w:rsid w:val="00F02A93"/>
    <w:rsid w:val="00F12952"/>
    <w:rsid w:val="00F20013"/>
    <w:rsid w:val="00F204E5"/>
    <w:rsid w:val="00F21EE5"/>
    <w:rsid w:val="00F47F4E"/>
    <w:rsid w:val="00F509C5"/>
    <w:rsid w:val="00F714D6"/>
    <w:rsid w:val="00F728B6"/>
    <w:rsid w:val="00F80309"/>
    <w:rsid w:val="00F850F4"/>
    <w:rsid w:val="00F94717"/>
    <w:rsid w:val="00FB37B4"/>
    <w:rsid w:val="00FB5038"/>
    <w:rsid w:val="00FF2F7E"/>
    <w:rsid w:val="00FF34C2"/>
    <w:rsid w:val="00FF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2D7E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>&lt;div&gt;&lt;/div&gt;</Notes1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55851A-8EC6-418E-AF43-3C77BEEFE3A8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013AE6D7-D341-4ED3-99D4-68DF177E5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F3DC50-F0E0-4F5D-AB35-A5952F088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1618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2019-06-11T15:31:00Z</dcterms:created>
  <dcterms:modified xsi:type="dcterms:W3CDTF">2023-04-13T08:34:00Z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