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8E6EAF1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53030E5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lastRenderedPageBreak/>
        <w:t>I. Preambule</w:t>
      </w:r>
    </w:p>
    <w:p w14:paraId="47371473" w14:textId="2843D9CA" w:rsid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MŠ </w:t>
      </w:r>
      <w:r w:rsidR="00BE3CBD">
        <w:rPr>
          <w:rFonts w:ascii="Arial" w:hAnsi="Arial"/>
          <w:b/>
          <w:bCs/>
          <w:kern w:val="1"/>
          <w:sz w:val="22"/>
          <w:szCs w:val="22"/>
        </w:rPr>
        <w:t>Karla IV.</w:t>
      </w:r>
      <w:r w:rsidR="00BE3CBD" w:rsidRPr="0019767F">
        <w:rPr>
          <w:rFonts w:ascii="Arial" w:hAnsi="Arial"/>
          <w:b/>
          <w:bCs/>
          <w:kern w:val="1"/>
          <w:sz w:val="22"/>
          <w:szCs w:val="22"/>
        </w:rPr>
        <w:t xml:space="preserve"> 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>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71797D7A" w14:textId="77777777" w:rsidR="005C5A55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6D473B0" w14:textId="77777777" w:rsidR="005C5A55" w:rsidRPr="00452341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Účel smlouvy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353D7900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BE3CBD" w:rsidRPr="0019767F">
        <w:rPr>
          <w:rFonts w:ascii="Arial" w:hAnsi="Arial" w:cs="Arial"/>
        </w:rPr>
        <w:t xml:space="preserve">MŠ </w:t>
      </w:r>
      <w:r w:rsidR="00BE3CBD">
        <w:rPr>
          <w:rFonts w:ascii="Arial" w:hAnsi="Arial" w:cs="Arial"/>
        </w:rPr>
        <w:t>Karla IV., 1241/41</w:t>
      </w:r>
      <w:r w:rsidR="00BE3CBD" w:rsidRPr="0019767F">
        <w:rPr>
          <w:rFonts w:ascii="Arial" w:hAnsi="Arial" w:cs="Arial"/>
        </w:rPr>
        <w:t>, 400 0</w:t>
      </w:r>
      <w:r w:rsidR="00BE3CBD">
        <w:rPr>
          <w:rFonts w:ascii="Arial" w:hAnsi="Arial" w:cs="Arial"/>
        </w:rPr>
        <w:t>3</w:t>
      </w:r>
      <w:r w:rsidR="00BE3CBD" w:rsidRPr="0019767F">
        <w:rPr>
          <w:rFonts w:ascii="Arial" w:hAnsi="Arial" w:cs="Arial"/>
        </w:rPr>
        <w:t xml:space="preserve"> Ústí nad Labem</w:t>
      </w:r>
      <w:r w:rsidR="00BE3CBD" w:rsidRPr="00FC25C6">
        <w:rPr>
          <w:rFonts w:ascii="Arial" w:hAnsi="Arial" w:cs="Arial"/>
        </w:rPr>
        <w:t xml:space="preserve"> </w:t>
      </w:r>
      <w:r w:rsidRPr="00FC25C6">
        <w:rPr>
          <w:rFonts w:ascii="Arial" w:hAnsi="Arial" w:cs="Arial"/>
        </w:rPr>
        <w:t>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</w:t>
      </w:r>
      <w:r w:rsidRPr="00E258B9">
        <w:rPr>
          <w:rFonts w:ascii="Arial" w:hAnsi="Arial" w:cs="Arial"/>
          <w:szCs w:val="22"/>
        </w:rPr>
        <w:lastRenderedPageBreak/>
        <w:t xml:space="preserve">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31402F1A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="00BE3CBD" w:rsidRPr="0019767F">
        <w:rPr>
          <w:rFonts w:ascii="Arial" w:hAnsi="Arial" w:cs="Arial"/>
          <w:sz w:val="22"/>
        </w:rPr>
        <w:t xml:space="preserve">MŠ </w:t>
      </w:r>
      <w:r w:rsidR="00BE3CBD">
        <w:rPr>
          <w:rFonts w:ascii="Arial" w:hAnsi="Arial" w:cs="Arial"/>
          <w:sz w:val="22"/>
        </w:rPr>
        <w:t>Karla IV., 1241/41</w:t>
      </w:r>
      <w:r w:rsidR="00BE3CBD" w:rsidRPr="0019767F">
        <w:rPr>
          <w:rFonts w:ascii="Arial" w:hAnsi="Arial" w:cs="Arial"/>
          <w:sz w:val="22"/>
        </w:rPr>
        <w:t>, 400 0</w:t>
      </w:r>
      <w:r w:rsidR="00BE3CBD">
        <w:rPr>
          <w:rFonts w:ascii="Arial" w:hAnsi="Arial" w:cs="Arial"/>
          <w:sz w:val="22"/>
        </w:rPr>
        <w:t>3</w:t>
      </w:r>
      <w:r w:rsidR="00BE3CBD" w:rsidRPr="0019767F">
        <w:rPr>
          <w:rFonts w:ascii="Arial" w:hAnsi="Arial" w:cs="Arial"/>
          <w:sz w:val="22"/>
        </w:rPr>
        <w:t xml:space="preserve">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5DE841B5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BE3CBD">
        <w:rPr>
          <w:rFonts w:ascii="Arial" w:hAnsi="Arial" w:cs="Arial"/>
          <w:b/>
          <w:sz w:val="22"/>
          <w:szCs w:val="22"/>
        </w:rPr>
        <w:t>30</w:t>
      </w:r>
      <w:r w:rsidR="009F646F">
        <w:rPr>
          <w:rFonts w:ascii="Arial" w:hAnsi="Arial" w:cs="Arial"/>
          <w:b/>
          <w:sz w:val="22"/>
          <w:szCs w:val="22"/>
        </w:rPr>
        <w:t>. 6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9F646F">
        <w:rPr>
          <w:rFonts w:ascii="Arial" w:hAnsi="Arial" w:cs="Arial"/>
          <w:b/>
          <w:sz w:val="22"/>
          <w:szCs w:val="22"/>
        </w:rPr>
        <w:t>1</w:t>
      </w:r>
      <w:r w:rsidR="00BE3CBD">
        <w:rPr>
          <w:rFonts w:ascii="Arial" w:hAnsi="Arial" w:cs="Arial"/>
          <w:b/>
          <w:sz w:val="22"/>
          <w:szCs w:val="22"/>
        </w:rPr>
        <w:t>8</w:t>
      </w:r>
      <w:r w:rsidR="009F646F">
        <w:rPr>
          <w:rFonts w:ascii="Arial" w:hAnsi="Arial" w:cs="Arial"/>
          <w:b/>
          <w:sz w:val="22"/>
          <w:szCs w:val="22"/>
        </w:rPr>
        <w:t>. 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výši  …… ………..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lastRenderedPageBreak/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03078D54" w:rsidR="00A141FA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2CBA5DA7" w14:textId="77777777" w:rsidR="005C5A55" w:rsidRPr="00724957" w:rsidRDefault="005C5A55" w:rsidP="005C5A55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50B618F9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071EADA" w14:textId="77777777" w:rsidR="005C5A55" w:rsidRPr="00724957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D4B80F6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5154710C" w14:textId="77777777" w:rsidR="005C5A55" w:rsidRPr="00A141FA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v záležitostech souvisejících s plněním dle této Smlouvy. Oprávněná </w:t>
      </w:r>
      <w:r w:rsidRPr="00724957">
        <w:rPr>
          <w:rFonts w:ascii="Arial" w:hAnsi="Arial" w:cs="Arial"/>
          <w:sz w:val="22"/>
          <w:szCs w:val="22"/>
        </w:rPr>
        <w:lastRenderedPageBreak/>
        <w:t>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BD3967C" w14:textId="77777777" w:rsidR="005C5A55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79DEBB00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69FD4480" w14:textId="77777777" w:rsidR="005C5A55" w:rsidRDefault="005C5A55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lastRenderedPageBreak/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V………………………..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4F1BFA75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3A5C01">
              <w:rPr>
                <w:rFonts w:ascii="Arial" w:eastAsia="Calibri" w:hAnsi="Arial" w:cs="Arial"/>
                <w:sz w:val="22"/>
                <w:szCs w:val="22"/>
              </w:rPr>
              <w:t>2036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C503" w14:textId="77777777" w:rsidR="00816770" w:rsidRDefault="00816770" w:rsidP="00777310">
      <w:r>
        <w:separator/>
      </w:r>
    </w:p>
  </w:endnote>
  <w:endnote w:type="continuationSeparator" w:id="0">
    <w:p w14:paraId="37D52CB5" w14:textId="77777777" w:rsidR="00816770" w:rsidRDefault="00816770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ACA1" w14:textId="77777777" w:rsidR="00816770" w:rsidRDefault="00816770" w:rsidP="00777310">
      <w:r>
        <w:separator/>
      </w:r>
    </w:p>
  </w:footnote>
  <w:footnote w:type="continuationSeparator" w:id="0">
    <w:p w14:paraId="46A85BCD" w14:textId="77777777" w:rsidR="00816770" w:rsidRDefault="00816770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zcpgbx/KUEM0HYzWO62zOzrY3N5okNJwDEWjBQNlLx/WaIvmsCi+9uRx8pSVSf93ovJtkAe+Kc7gHZVkd1+sGg==" w:salt="1Yyw1QkhvxPNUbgOPzUo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3379A"/>
    <w:rsid w:val="00040930"/>
    <w:rsid w:val="000C05AA"/>
    <w:rsid w:val="000F4777"/>
    <w:rsid w:val="00124A45"/>
    <w:rsid w:val="00127072"/>
    <w:rsid w:val="0017077D"/>
    <w:rsid w:val="001722E6"/>
    <w:rsid w:val="00172388"/>
    <w:rsid w:val="00187124"/>
    <w:rsid w:val="001B3902"/>
    <w:rsid w:val="001C774D"/>
    <w:rsid w:val="001D3AB4"/>
    <w:rsid w:val="001E26AD"/>
    <w:rsid w:val="00210E8D"/>
    <w:rsid w:val="00252413"/>
    <w:rsid w:val="00260157"/>
    <w:rsid w:val="00275E3E"/>
    <w:rsid w:val="002A015B"/>
    <w:rsid w:val="002C07B5"/>
    <w:rsid w:val="00305F67"/>
    <w:rsid w:val="00331270"/>
    <w:rsid w:val="003333E3"/>
    <w:rsid w:val="00360F5C"/>
    <w:rsid w:val="00394A6A"/>
    <w:rsid w:val="003A3EBC"/>
    <w:rsid w:val="003A5C01"/>
    <w:rsid w:val="003C006B"/>
    <w:rsid w:val="003D302F"/>
    <w:rsid w:val="003F0821"/>
    <w:rsid w:val="00400CE3"/>
    <w:rsid w:val="00452341"/>
    <w:rsid w:val="004B5C6E"/>
    <w:rsid w:val="004C11D3"/>
    <w:rsid w:val="005A4D5D"/>
    <w:rsid w:val="005C5A55"/>
    <w:rsid w:val="00632797"/>
    <w:rsid w:val="0064336F"/>
    <w:rsid w:val="00665CD3"/>
    <w:rsid w:val="006F0256"/>
    <w:rsid w:val="00756F28"/>
    <w:rsid w:val="00777310"/>
    <w:rsid w:val="007A177E"/>
    <w:rsid w:val="007D1B61"/>
    <w:rsid w:val="007E2A05"/>
    <w:rsid w:val="00816770"/>
    <w:rsid w:val="00846C6C"/>
    <w:rsid w:val="00882526"/>
    <w:rsid w:val="00890854"/>
    <w:rsid w:val="008E2F38"/>
    <w:rsid w:val="008F04E7"/>
    <w:rsid w:val="0094135C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37F13"/>
    <w:rsid w:val="00AB65AC"/>
    <w:rsid w:val="00AE6888"/>
    <w:rsid w:val="00B210B9"/>
    <w:rsid w:val="00B33CE2"/>
    <w:rsid w:val="00BE3CBD"/>
    <w:rsid w:val="00BF0E94"/>
    <w:rsid w:val="00C3713C"/>
    <w:rsid w:val="00C94086"/>
    <w:rsid w:val="00CF53AB"/>
    <w:rsid w:val="00D06421"/>
    <w:rsid w:val="00D11FA4"/>
    <w:rsid w:val="00D35D66"/>
    <w:rsid w:val="00DA01BF"/>
    <w:rsid w:val="00DE150D"/>
    <w:rsid w:val="00E0019E"/>
    <w:rsid w:val="00E36D7B"/>
    <w:rsid w:val="00E41171"/>
    <w:rsid w:val="00E50275"/>
    <w:rsid w:val="00E56AAC"/>
    <w:rsid w:val="00EB00A8"/>
    <w:rsid w:val="00EC1224"/>
    <w:rsid w:val="00F17000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4208</Words>
  <Characters>24831</Characters>
  <Application>Microsoft Office Word</Application>
  <DocSecurity>8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7</cp:revision>
  <cp:lastPrinted>2024-06-26T07:35:00Z</cp:lastPrinted>
  <dcterms:created xsi:type="dcterms:W3CDTF">2025-05-23T10:51:00Z</dcterms:created>
  <dcterms:modified xsi:type="dcterms:W3CDTF">2025-06-09T08:50:00Z</dcterms:modified>
</cp:coreProperties>
</file>